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ED5" w:rsidRPr="00562ED5" w:rsidRDefault="00562ED5" w:rsidP="00562ED5">
      <w:pPr>
        <w:widowControl w:val="0"/>
        <w:tabs>
          <w:tab w:val="left" w:pos="709"/>
          <w:tab w:val="left" w:pos="5420"/>
        </w:tabs>
        <w:spacing w:after="0" w:line="360" w:lineRule="auto"/>
        <w:ind w:right="-142"/>
        <w:jc w:val="center"/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</w:pPr>
      <w:r w:rsidRPr="00562ED5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>Правительство Российской Федерации</w:t>
      </w:r>
    </w:p>
    <w:p w:rsidR="00562ED5" w:rsidRPr="00562ED5" w:rsidRDefault="00562ED5" w:rsidP="00562ED5">
      <w:pPr>
        <w:widowControl w:val="0"/>
        <w:tabs>
          <w:tab w:val="left" w:pos="709"/>
          <w:tab w:val="left" w:pos="5420"/>
        </w:tabs>
        <w:spacing w:after="0" w:line="360" w:lineRule="auto"/>
        <w:ind w:right="-142"/>
        <w:jc w:val="center"/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</w:pPr>
    </w:p>
    <w:p w:rsidR="00562ED5" w:rsidRPr="00562ED5" w:rsidRDefault="00562ED5" w:rsidP="00562ED5">
      <w:pPr>
        <w:widowControl w:val="0"/>
        <w:tabs>
          <w:tab w:val="left" w:pos="709"/>
          <w:tab w:val="left" w:pos="5420"/>
        </w:tabs>
        <w:spacing w:after="0" w:line="360" w:lineRule="auto"/>
        <w:ind w:right="-142"/>
        <w:jc w:val="center"/>
        <w:rPr>
          <w:rFonts w:ascii="Times New Roman" w:eastAsia="Times New Roman" w:hAnsi="Times New Roman" w:cs="Times New Roman"/>
          <w:bCs/>
          <w:snapToGrid w:val="0"/>
          <w:color w:val="000000"/>
          <w:sz w:val="28"/>
          <w:szCs w:val="28"/>
          <w:lang w:eastAsia="ru-RU"/>
        </w:rPr>
      </w:pPr>
      <w:r w:rsidRPr="00562ED5">
        <w:rPr>
          <w:rFonts w:ascii="Times New Roman" w:eastAsia="Times New Roman" w:hAnsi="Times New Roman" w:cs="Times New Roman"/>
          <w:bCs/>
          <w:snapToGrid w:val="0"/>
          <w:color w:val="000000"/>
          <w:sz w:val="28"/>
          <w:szCs w:val="28"/>
          <w:lang w:eastAsia="ru-RU"/>
        </w:rPr>
        <w:t xml:space="preserve">Федеральное государственное автономное образовательное учреждение </w:t>
      </w:r>
    </w:p>
    <w:p w:rsidR="00562ED5" w:rsidRPr="00562ED5" w:rsidRDefault="00562ED5" w:rsidP="00562ED5">
      <w:pPr>
        <w:widowControl w:val="0"/>
        <w:tabs>
          <w:tab w:val="left" w:pos="709"/>
          <w:tab w:val="left" w:pos="5420"/>
        </w:tabs>
        <w:spacing w:after="0" w:line="360" w:lineRule="auto"/>
        <w:ind w:right="-142"/>
        <w:jc w:val="center"/>
        <w:rPr>
          <w:rFonts w:ascii="Times New Roman" w:eastAsia="Times New Roman" w:hAnsi="Times New Roman" w:cs="Times New Roman"/>
          <w:bCs/>
          <w:snapToGrid w:val="0"/>
          <w:color w:val="000000"/>
          <w:sz w:val="28"/>
          <w:szCs w:val="28"/>
          <w:lang w:eastAsia="ru-RU"/>
        </w:rPr>
      </w:pPr>
      <w:r w:rsidRPr="00562ED5">
        <w:rPr>
          <w:rFonts w:ascii="Times New Roman" w:eastAsia="Times New Roman" w:hAnsi="Times New Roman" w:cs="Times New Roman"/>
          <w:bCs/>
          <w:snapToGrid w:val="0"/>
          <w:color w:val="000000"/>
          <w:sz w:val="28"/>
          <w:szCs w:val="28"/>
          <w:lang w:eastAsia="ru-RU"/>
        </w:rPr>
        <w:t>высшего профессионального образования</w:t>
      </w:r>
    </w:p>
    <w:p w:rsidR="00562ED5" w:rsidRPr="00562ED5" w:rsidRDefault="00562ED5" w:rsidP="00562ED5">
      <w:pPr>
        <w:widowControl w:val="0"/>
        <w:tabs>
          <w:tab w:val="left" w:pos="709"/>
          <w:tab w:val="left" w:pos="5420"/>
        </w:tabs>
        <w:spacing w:after="0" w:line="360" w:lineRule="auto"/>
        <w:ind w:right="-142"/>
        <w:jc w:val="center"/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</w:pPr>
    </w:p>
    <w:p w:rsidR="00562ED5" w:rsidRPr="00562ED5" w:rsidRDefault="00562ED5" w:rsidP="00562ED5">
      <w:pPr>
        <w:widowControl w:val="0"/>
        <w:tabs>
          <w:tab w:val="left" w:pos="709"/>
        </w:tabs>
        <w:spacing w:after="0" w:line="360" w:lineRule="auto"/>
        <w:ind w:right="-142"/>
        <w:jc w:val="center"/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</w:pPr>
      <w:r w:rsidRPr="00562ED5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 xml:space="preserve">«Национальный исследовательский университет </w:t>
      </w:r>
      <w:r w:rsidRPr="00562ED5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br/>
        <w:t>«Высшая школа экономики»</w:t>
      </w:r>
    </w:p>
    <w:p w:rsidR="00562ED5" w:rsidRPr="00562ED5" w:rsidRDefault="00562ED5" w:rsidP="00562ED5">
      <w:pPr>
        <w:tabs>
          <w:tab w:val="left" w:pos="709"/>
        </w:tabs>
        <w:spacing w:before="240" w:after="60" w:line="360" w:lineRule="auto"/>
        <w:ind w:right="-142"/>
        <w:outlineLvl w:val="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2E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Факультет Мировой Экономики и мировой политики </w:t>
      </w:r>
    </w:p>
    <w:p w:rsidR="00562ED5" w:rsidRPr="00562ED5" w:rsidRDefault="00562ED5" w:rsidP="00562ED5">
      <w:pPr>
        <w:tabs>
          <w:tab w:val="left" w:pos="709"/>
        </w:tabs>
        <w:spacing w:before="240" w:after="60" w:line="360" w:lineRule="auto"/>
        <w:ind w:right="-142"/>
        <w:outlineLvl w:val="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2E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Кафедра</w:t>
      </w:r>
      <w:r w:rsidRPr="00562ED5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ru-RU"/>
        </w:rPr>
        <w:t xml:space="preserve">  </w:t>
      </w:r>
      <w:r w:rsidRPr="00562ED5">
        <w:rPr>
          <w:rFonts w:ascii="Times New Roman" w:eastAsia="Calibri" w:hAnsi="Times New Roman" w:cs="Times New Roman"/>
          <w:bCs/>
          <w:sz w:val="28"/>
          <w:szCs w:val="28"/>
        </w:rPr>
        <w:t xml:space="preserve">международных валютно-финансовых отношений                                                                                                            </w:t>
      </w:r>
    </w:p>
    <w:p w:rsidR="00562ED5" w:rsidRPr="00562ED5" w:rsidRDefault="00562ED5" w:rsidP="00562ED5">
      <w:pPr>
        <w:tabs>
          <w:tab w:val="left" w:pos="709"/>
        </w:tabs>
        <w:spacing w:before="240" w:after="60" w:line="360" w:lineRule="auto"/>
        <w:ind w:right="-142"/>
        <w:jc w:val="center"/>
        <w:outlineLvl w:val="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2E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ВЫПУСКНАЯ КВАЛИФИКАЦИОННАЯ РАБОТА</w:t>
      </w:r>
    </w:p>
    <w:p w:rsidR="00562ED5" w:rsidRPr="00562ED5" w:rsidRDefault="00562ED5" w:rsidP="00562ED5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right="-142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62ED5" w:rsidRPr="00562ED5" w:rsidRDefault="00562ED5" w:rsidP="00562ED5">
      <w:pPr>
        <w:tabs>
          <w:tab w:val="left" w:pos="709"/>
        </w:tabs>
        <w:autoSpaceDE w:val="0"/>
        <w:autoSpaceDN w:val="0"/>
        <w:adjustRightInd w:val="0"/>
        <w:spacing w:before="35" w:after="0" w:line="360" w:lineRule="auto"/>
        <w:ind w:right="-142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2E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тему  «</w:t>
      </w:r>
      <w:r w:rsidR="001919BB" w:rsidRPr="001919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Сравнение унитарных операторов при внутридневном прогнозировании валютного рынка</w:t>
      </w:r>
      <w:r w:rsidRPr="00562E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:rsidR="00562ED5" w:rsidRPr="00562ED5" w:rsidRDefault="00562ED5" w:rsidP="00562ED5">
      <w:pPr>
        <w:tabs>
          <w:tab w:val="left" w:pos="709"/>
        </w:tabs>
        <w:autoSpaceDE w:val="0"/>
        <w:autoSpaceDN w:val="0"/>
        <w:adjustRightInd w:val="0"/>
        <w:spacing w:before="35" w:after="0" w:line="360" w:lineRule="auto"/>
        <w:ind w:right="-142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62ED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562ED5" w:rsidRPr="00562ED5" w:rsidRDefault="00562ED5" w:rsidP="00562ED5">
      <w:pPr>
        <w:tabs>
          <w:tab w:val="left" w:pos="709"/>
          <w:tab w:val="left" w:pos="9637"/>
        </w:tabs>
        <w:spacing w:after="0" w:line="360" w:lineRule="auto"/>
        <w:ind w:right="-142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2E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Студент</w:t>
      </w:r>
      <w:r w:rsidR="001919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 группы № 463</w:t>
      </w:r>
    </w:p>
    <w:p w:rsidR="00562ED5" w:rsidRPr="00562ED5" w:rsidRDefault="001919BB" w:rsidP="00562ED5">
      <w:pPr>
        <w:tabs>
          <w:tab w:val="left" w:pos="709"/>
          <w:tab w:val="left" w:pos="9356"/>
          <w:tab w:val="left" w:pos="9637"/>
        </w:tabs>
        <w:spacing w:after="0" w:line="360" w:lineRule="auto"/>
        <w:ind w:right="-142" w:hanging="278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Мухоряпова Елена Андреевна</w:t>
      </w:r>
    </w:p>
    <w:p w:rsidR="00562ED5" w:rsidRPr="00562ED5" w:rsidRDefault="00562ED5" w:rsidP="00562ED5">
      <w:pPr>
        <w:tabs>
          <w:tab w:val="left" w:pos="709"/>
          <w:tab w:val="left" w:pos="8820"/>
          <w:tab w:val="left" w:pos="9637"/>
        </w:tabs>
        <w:spacing w:after="0" w:line="360" w:lineRule="auto"/>
        <w:ind w:right="-142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62ED5" w:rsidRPr="00562ED5" w:rsidRDefault="00562ED5" w:rsidP="00562ED5">
      <w:pPr>
        <w:tabs>
          <w:tab w:val="left" w:pos="709"/>
          <w:tab w:val="left" w:pos="9639"/>
        </w:tabs>
        <w:spacing w:after="0" w:line="360" w:lineRule="auto"/>
        <w:ind w:right="-142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2E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Руководитель ВКР</w:t>
      </w:r>
    </w:p>
    <w:p w:rsidR="00562ED5" w:rsidRPr="00562ED5" w:rsidRDefault="00562ED5" w:rsidP="00562ED5">
      <w:pPr>
        <w:tabs>
          <w:tab w:val="left" w:pos="709"/>
        </w:tabs>
        <w:spacing w:after="0" w:line="360" w:lineRule="auto"/>
        <w:ind w:right="-142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562ED5">
        <w:rPr>
          <w:rFonts w:ascii="Times New Roman" w:eastAsia="Calibri" w:hAnsi="Times New Roman" w:cs="Times New Roman"/>
          <w:bCs/>
          <w:sz w:val="28"/>
          <w:szCs w:val="28"/>
        </w:rPr>
        <w:t xml:space="preserve">Евстигнеев Владимир Рубенович </w:t>
      </w:r>
    </w:p>
    <w:p w:rsidR="00562ED5" w:rsidRPr="00562ED5" w:rsidRDefault="00562ED5" w:rsidP="00562ED5">
      <w:pPr>
        <w:tabs>
          <w:tab w:val="left" w:pos="709"/>
        </w:tabs>
        <w:spacing w:after="0" w:line="360" w:lineRule="auto"/>
        <w:ind w:right="-142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562ED5">
        <w:rPr>
          <w:rFonts w:ascii="Times New Roman" w:eastAsia="Calibri" w:hAnsi="Times New Roman" w:cs="Times New Roman"/>
          <w:bCs/>
          <w:sz w:val="28"/>
          <w:szCs w:val="28"/>
        </w:rPr>
        <w:t>доктор наук</w:t>
      </w:r>
    </w:p>
    <w:p w:rsidR="00562ED5" w:rsidRPr="00562ED5" w:rsidRDefault="00562ED5" w:rsidP="00562ED5">
      <w:pPr>
        <w:tabs>
          <w:tab w:val="left" w:pos="709"/>
        </w:tabs>
        <w:spacing w:after="0" w:line="360" w:lineRule="auto"/>
        <w:ind w:right="-142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562ED5">
        <w:rPr>
          <w:rFonts w:ascii="Times New Roman" w:eastAsia="Calibri" w:hAnsi="Times New Roman" w:cs="Times New Roman"/>
          <w:bCs/>
          <w:sz w:val="28"/>
          <w:szCs w:val="28"/>
        </w:rPr>
        <w:t>заведующий кафедрой</w:t>
      </w:r>
    </w:p>
    <w:p w:rsidR="00562ED5" w:rsidRPr="00562ED5" w:rsidRDefault="00562ED5" w:rsidP="00562ED5">
      <w:pPr>
        <w:tabs>
          <w:tab w:val="left" w:pos="709"/>
        </w:tabs>
        <w:spacing w:after="0" w:line="360" w:lineRule="auto"/>
        <w:ind w:right="-142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2ED5">
        <w:rPr>
          <w:rFonts w:ascii="Times New Roman" w:eastAsia="Calibri" w:hAnsi="Times New Roman" w:cs="Times New Roman"/>
          <w:bCs/>
          <w:sz w:val="28"/>
          <w:szCs w:val="28"/>
        </w:rPr>
        <w:t xml:space="preserve"> международных валютно-финансовых отношений                                                                                                            </w:t>
      </w:r>
    </w:p>
    <w:p w:rsidR="00562ED5" w:rsidRPr="00562ED5" w:rsidRDefault="00562ED5" w:rsidP="00562ED5">
      <w:pPr>
        <w:tabs>
          <w:tab w:val="left" w:pos="709"/>
        </w:tabs>
        <w:spacing w:after="0" w:line="360" w:lineRule="auto"/>
        <w:ind w:right="-142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2E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</w:p>
    <w:p w:rsidR="00562ED5" w:rsidRPr="00562ED5" w:rsidRDefault="00562ED5" w:rsidP="00562ED5">
      <w:pPr>
        <w:tabs>
          <w:tab w:val="left" w:pos="709"/>
        </w:tabs>
        <w:spacing w:after="0" w:line="360" w:lineRule="auto"/>
        <w:ind w:right="-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2E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562ED5" w:rsidRPr="00562ED5" w:rsidRDefault="00562ED5" w:rsidP="00562ED5">
      <w:pPr>
        <w:tabs>
          <w:tab w:val="left" w:pos="709"/>
        </w:tabs>
        <w:spacing w:after="0" w:line="360" w:lineRule="auto"/>
        <w:ind w:right="-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62ED5" w:rsidRPr="00562ED5" w:rsidRDefault="00562ED5" w:rsidP="00562ED5">
      <w:pPr>
        <w:tabs>
          <w:tab w:val="left" w:pos="709"/>
        </w:tabs>
        <w:spacing w:after="0" w:line="360" w:lineRule="auto"/>
        <w:ind w:right="-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62ED5" w:rsidRPr="00562ED5" w:rsidRDefault="00562ED5" w:rsidP="00562ED5">
      <w:pPr>
        <w:tabs>
          <w:tab w:val="left" w:pos="709"/>
        </w:tabs>
        <w:spacing w:after="0" w:line="360" w:lineRule="auto"/>
        <w:ind w:right="-142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2E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Москва, 2013 г.</w:t>
      </w:r>
    </w:p>
    <w:p w:rsidR="00562ED5" w:rsidRDefault="00562ED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ru-RU"/>
        </w:rPr>
      </w:pPr>
      <w:r>
        <w:br w:type="page"/>
      </w:r>
    </w:p>
    <w:p w:rsidR="00562ED5" w:rsidRDefault="00562ED5">
      <w:pPr>
        <w:pStyle w:val="af1"/>
      </w:pPr>
    </w:p>
    <w:sdt>
      <w:sdtPr>
        <w:id w:val="1988129512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sdtEndPr>
      <w:sdtContent>
        <w:p w:rsidR="00562ED5" w:rsidRDefault="00562ED5">
          <w:pPr>
            <w:pStyle w:val="af1"/>
          </w:pPr>
          <w:r>
            <w:t>Оглавление</w:t>
          </w:r>
        </w:p>
        <w:p w:rsidR="001919BB" w:rsidRDefault="00562ED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56831754" w:history="1">
            <w:r w:rsidR="001919BB" w:rsidRPr="005E147D">
              <w:rPr>
                <w:rStyle w:val="a3"/>
                <w:noProof/>
              </w:rPr>
              <w:t>Введение.</w:t>
            </w:r>
            <w:r w:rsidR="001919BB">
              <w:rPr>
                <w:noProof/>
                <w:webHidden/>
              </w:rPr>
              <w:tab/>
            </w:r>
            <w:r w:rsidR="001919BB">
              <w:rPr>
                <w:noProof/>
                <w:webHidden/>
              </w:rPr>
              <w:fldChar w:fldCharType="begin"/>
            </w:r>
            <w:r w:rsidR="001919BB">
              <w:rPr>
                <w:noProof/>
                <w:webHidden/>
              </w:rPr>
              <w:instrText xml:space="preserve"> PAGEREF _Toc356831754 \h </w:instrText>
            </w:r>
            <w:r w:rsidR="001919BB">
              <w:rPr>
                <w:noProof/>
                <w:webHidden/>
              </w:rPr>
            </w:r>
            <w:r w:rsidR="001919BB">
              <w:rPr>
                <w:noProof/>
                <w:webHidden/>
              </w:rPr>
              <w:fldChar w:fldCharType="separate"/>
            </w:r>
            <w:r w:rsidR="001919BB">
              <w:rPr>
                <w:noProof/>
                <w:webHidden/>
              </w:rPr>
              <w:t>3</w:t>
            </w:r>
            <w:r w:rsidR="001919BB">
              <w:rPr>
                <w:noProof/>
                <w:webHidden/>
              </w:rPr>
              <w:fldChar w:fldCharType="end"/>
            </w:r>
          </w:hyperlink>
        </w:p>
        <w:p w:rsidR="001919BB" w:rsidRDefault="001919B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6831755" w:history="1">
            <w:r w:rsidRPr="005E147D">
              <w:rPr>
                <w:rStyle w:val="a3"/>
                <w:noProof/>
              </w:rPr>
              <w:t>Глава 1.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_Toc356831755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19BB" w:rsidRDefault="001919BB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6831756" w:history="1">
            <w:r w:rsidRPr="005E147D">
              <w:rPr>
                <w:rStyle w:val="a3"/>
                <w:noProof/>
              </w:rPr>
              <w:t>1.1.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E147D">
              <w:rPr>
                <w:rStyle w:val="a3"/>
                <w:noProof/>
              </w:rPr>
              <w:t>Характеристика валютной пары евро-доллар.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_Toc356831756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19BB" w:rsidRDefault="001919BB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6831757" w:history="1">
            <w:r w:rsidRPr="005E147D">
              <w:rPr>
                <w:rStyle w:val="a3"/>
                <w:noProof/>
              </w:rPr>
              <w:t>1.2.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E147D">
              <w:rPr>
                <w:rStyle w:val="a3"/>
                <w:noProof/>
              </w:rPr>
              <w:t>Унитарные операторы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_Toc356831757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19BB" w:rsidRDefault="001919B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6831758" w:history="1">
            <w:r w:rsidRPr="005E147D">
              <w:rPr>
                <w:rStyle w:val="a3"/>
                <w:noProof/>
              </w:rPr>
              <w:t>Глава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_Toc356831758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19BB" w:rsidRDefault="001919B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6831759" w:history="1">
            <w:r w:rsidRPr="005E147D">
              <w:rPr>
                <w:rStyle w:val="a3"/>
                <w:noProof/>
              </w:rPr>
              <w:t>2.1. Оператор Хаузхолдера.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_Toc356831759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19BB" w:rsidRDefault="001919B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6831760" w:history="1">
            <w:r w:rsidRPr="005E147D">
              <w:rPr>
                <w:rStyle w:val="a3"/>
                <w:noProof/>
              </w:rPr>
              <w:t>2.2. Применение метода Хаузхолдера.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_Toc356831760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19BB" w:rsidRDefault="001919B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6831761" w:history="1">
            <w:r w:rsidRPr="005E147D">
              <w:rPr>
                <w:rStyle w:val="a3"/>
                <w:noProof/>
              </w:rPr>
              <w:t>2.3. Метод главных компонент.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_Toc356831761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19BB" w:rsidRDefault="001919B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6831762" w:history="1">
            <w:r w:rsidRPr="005E147D">
              <w:rPr>
                <w:rStyle w:val="a3"/>
                <w:noProof/>
              </w:rPr>
              <w:t>Глава 3.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_Toc356831762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19BB" w:rsidRDefault="001919B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6831763" w:history="1">
            <w:r w:rsidRPr="005E147D">
              <w:rPr>
                <w:rStyle w:val="a3"/>
                <w:noProof/>
              </w:rPr>
              <w:t>3.1. Переход  к непрерывному процессу. Получение функции плотности вероятности через задачу вариационного вычисления.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_Toc356831763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19BB" w:rsidRDefault="001919B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6831764" w:history="1">
            <w:r w:rsidRPr="005E147D">
              <w:rPr>
                <w:rStyle w:val="a3"/>
                <w:noProof/>
              </w:rPr>
              <w:t>3.2. Оценка параметров распределения и построение оператора Нюстрома.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_Toc356831764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19BB" w:rsidRDefault="001919B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6831765" w:history="1">
            <w:r w:rsidRPr="005E147D">
              <w:rPr>
                <w:rStyle w:val="a3"/>
                <w:noProof/>
              </w:rPr>
              <w:t>3.3. Эффект обращения средней.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_Toc356831765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19BB" w:rsidRDefault="001919B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6831766" w:history="1">
            <w:r w:rsidRPr="005E147D">
              <w:rPr>
                <w:rStyle w:val="a3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_Toc356831766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19BB" w:rsidRDefault="001919B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6831767" w:history="1">
            <w:r w:rsidRPr="005E147D">
              <w:rPr>
                <w:rStyle w:val="a3"/>
                <w:noProof/>
              </w:rPr>
              <w:t>Список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_Toc356831767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19BB" w:rsidRDefault="001919B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6831768" w:history="1">
            <w:r w:rsidRPr="005E147D">
              <w:rPr>
                <w:rStyle w:val="a3"/>
                <w:noProof/>
              </w:rPr>
              <w:t>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_Toc356831768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2ED5" w:rsidRDefault="00562ED5">
          <w:r>
            <w:rPr>
              <w:b/>
              <w:bCs/>
            </w:rPr>
            <w:fldChar w:fldCharType="end"/>
          </w:r>
        </w:p>
      </w:sdtContent>
    </w:sdt>
    <w:p w:rsidR="00562ED5" w:rsidRDefault="00562ED5" w:rsidP="00562ED5">
      <w:pPr>
        <w:pStyle w:val="11"/>
        <w:tabs>
          <w:tab w:val="right" w:leader="dot" w:pos="9345"/>
        </w:tabs>
        <w:rPr>
          <w:rFonts w:eastAsiaTheme="minorEastAsia"/>
          <w:noProof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</w:p>
    <w:p w:rsidR="00562ED5" w:rsidRDefault="00562ED5">
      <w:pPr>
        <w:pStyle w:val="11"/>
        <w:tabs>
          <w:tab w:val="right" w:leader="dot" w:pos="9345"/>
        </w:tabs>
        <w:rPr>
          <w:rFonts w:eastAsiaTheme="minorEastAsia"/>
          <w:noProof/>
          <w:lang w:eastAsia="ru-RU"/>
        </w:rPr>
      </w:pPr>
    </w:p>
    <w:p w:rsidR="00562ED5" w:rsidRDefault="00562ED5" w:rsidP="00160A4B">
      <w:pPr>
        <w:pStyle w:val="1"/>
        <w:jc w:val="both"/>
      </w:pPr>
      <w:r>
        <w:fldChar w:fldCharType="end"/>
      </w:r>
      <w:bookmarkStart w:id="0" w:name="_Toc356831298"/>
    </w:p>
    <w:p w:rsidR="00562ED5" w:rsidRDefault="00562ED5" w:rsidP="00562ED5">
      <w:pPr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  <w:lang w:eastAsia="ru-RU"/>
        </w:rPr>
      </w:pPr>
      <w:r>
        <w:br w:type="page"/>
      </w:r>
    </w:p>
    <w:p w:rsidR="003345F9" w:rsidRPr="00456249" w:rsidRDefault="008F1123" w:rsidP="00160A4B">
      <w:pPr>
        <w:pStyle w:val="1"/>
        <w:jc w:val="both"/>
      </w:pPr>
      <w:bookmarkStart w:id="1" w:name="_Toc356831754"/>
      <w:bookmarkStart w:id="2" w:name="_GoBack"/>
      <w:bookmarkEnd w:id="2"/>
      <w:r w:rsidRPr="00456249">
        <w:lastRenderedPageBreak/>
        <w:t>Введение.</w:t>
      </w:r>
      <w:bookmarkEnd w:id="0"/>
      <w:bookmarkEnd w:id="1"/>
      <w:r w:rsidRPr="00456249">
        <w:t xml:space="preserve"> </w:t>
      </w:r>
      <w:r w:rsidR="00C62C0F" w:rsidRPr="00456249">
        <w:tab/>
      </w:r>
    </w:p>
    <w:p w:rsidR="00C62C0F" w:rsidRPr="00456249" w:rsidRDefault="00C62C0F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D36CA" w:rsidRDefault="008D36CA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Данная дипломная работа  посвящена анализу внутридневных котировок валютной пары евродоллар и их последующему прог</w:t>
      </w:r>
      <w:r w:rsidR="00987914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нозу, с использованием различных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унитарных операторов, а именно при помощи </w:t>
      </w:r>
      <w:r w:rsidR="002370AE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матрицы Хаузхолдера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, метода главных компонент и матрицы Нюстрома. В работе предполагается построить три модели, с помощью этих трех операторов, посмотреть какая из моделей дает более точный прогноз и интер</w:t>
      </w:r>
      <w:r w:rsidR="00987914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пр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етировать данный результат. </w:t>
      </w:r>
      <w:r w:rsidR="00C35A9C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Построение этих моделей предполагает, что мы подробно изучим на практике такой раздел математики как унитарные  операторы и по</w:t>
      </w:r>
      <w:r w:rsidR="00C35A9C">
        <w:rPr>
          <w:rFonts w:ascii="Times New Roman" w:hAnsi="Times New Roman" w:cs="Times New Roman"/>
          <w:color w:val="000000" w:themeColor="text1"/>
          <w:sz w:val="28"/>
          <w:szCs w:val="28"/>
        </w:rPr>
        <w:t>кажем, что данные математические модели наилучшим образом подходят для формализации субъективных прогнозов цен на рынке Форекс, что позволит нам смоделировать оптимальную торговую стратегию.</w:t>
      </w:r>
    </w:p>
    <w:p w:rsidR="00C35A9C" w:rsidRPr="00456249" w:rsidRDefault="00C35A9C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F3C00" w:rsidRPr="00456249" w:rsidRDefault="008D36CA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Актуальность и целесоо</w:t>
      </w:r>
      <w:r w:rsidR="00987914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бразность темы обуславливается довольно интересным и</w:t>
      </w:r>
      <w:r w:rsidR="00C35A9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987914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сути</w:t>
      </w:r>
      <w:r w:rsidR="00C35A9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987914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простым явлением. В случае если мы хотим сделать наш прогноз на момент периода </w:t>
      </w:r>
      <w:r w:rsidR="00987914" w:rsidRPr="0045624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</w:t>
      </w:r>
      <w:r w:rsidR="00C35A9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987914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который достаточно удален от момента времени</w:t>
      </w:r>
      <w:r w:rsidR="00C35A9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4C0CA1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87914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котором мы </w:t>
      </w:r>
      <w:r w:rsidR="004C0CA1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сейчас </w:t>
      </w:r>
      <w:r w:rsidR="00987914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находимся, мы сталкиваемся с проблемой</w:t>
      </w:r>
      <w:r w:rsidR="004C0CA1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больш</w:t>
      </w:r>
      <w:r w:rsidR="00987914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ой неопределенности. То есть с увеличением дистанции прогнозирования неопределе</w:t>
      </w:r>
      <w:r w:rsidR="004C0CA1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987914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ность воз</w:t>
      </w:r>
      <w:r w:rsidR="00C35A9C">
        <w:rPr>
          <w:rFonts w:ascii="Times New Roman" w:hAnsi="Times New Roman" w:cs="Times New Roman"/>
          <w:color w:val="000000" w:themeColor="text1"/>
          <w:sz w:val="28"/>
          <w:szCs w:val="28"/>
        </w:rPr>
        <w:t>растает. В физике данное явление</w:t>
      </w:r>
      <w:r w:rsidR="00987914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опи</w:t>
      </w:r>
      <w:r w:rsidR="004C0CA1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987914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ывае</w:t>
      </w:r>
      <w:r w:rsidR="004C0CA1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тся уравнением Фоккера Планка</w:t>
      </w:r>
      <w:r w:rsidR="00C35A9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DF3C00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 же носящем название уравнения </w:t>
      </w:r>
      <w:r w:rsidR="00C35A9C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теплопроводности</w:t>
      </w:r>
      <w:r w:rsidR="004C0CA1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C35A9C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мере увеличения горизонта для прогнозирования, мы наблюдаем такое интересное явления как </w:t>
      </w:r>
      <w:r w:rsidR="00C35A9C">
        <w:rPr>
          <w:rFonts w:ascii="Times New Roman" w:hAnsi="Times New Roman" w:cs="Times New Roman"/>
          <w:color w:val="000000" w:themeColor="text1"/>
          <w:sz w:val="28"/>
          <w:szCs w:val="28"/>
        </w:rPr>
        <w:t>расплывание</w:t>
      </w:r>
      <w:r w:rsidR="00C35A9C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функции плотности вероятности, происходит это в связи с возрастающей неопределённостью прогноза поэтому функция плотности вероятности ценового процесса стремится  к виду равномерного распределения, однако исходя из практики</w:t>
      </w:r>
      <w:r w:rsidR="00C35A9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35A9C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знаем, что это совсем не так</w:t>
      </w:r>
      <w:r w:rsidR="00C35A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(см приложение 2)</w:t>
      </w:r>
      <w:r w:rsidR="00C35A9C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</w:t>
      </w:r>
      <w:r w:rsidR="00DF3C00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Так же</w:t>
      </w:r>
      <w:r w:rsidR="00C62C0F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, несмотря на то, что процессы ц</w:t>
      </w:r>
      <w:r w:rsidR="00DF3C00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енообразования, происходящие на рынке значительно изменяют свою конфигурацию, их норма сохраняется прежней. </w:t>
      </w:r>
      <w:r w:rsidR="00DF3C00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Отсюда и вытекает задача наша исследования, построить такой оператор, который воздействуя на исходные </w:t>
      </w:r>
      <w:r w:rsidR="00C35A9C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данные,</w:t>
      </w:r>
      <w:r w:rsidR="00DF3C00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сохранял их норму. Именно таковыми и являются унитарные операторы. </w:t>
      </w:r>
    </w:p>
    <w:p w:rsidR="00BE40BA" w:rsidRPr="00456249" w:rsidRDefault="00BE40BA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Таким </w:t>
      </w:r>
      <w:r w:rsidR="00C35A9C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образом,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данная гипотеза будет во главе всей нашей работы. </w:t>
      </w:r>
      <w:r w:rsidR="00C62C0F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Субъективное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представление о значении валютных курсов во времени изменяют свою конфигурацию, но не изменяют свою норму. </w:t>
      </w:r>
    </w:p>
    <w:p w:rsidR="009F6B11" w:rsidRPr="00456249" w:rsidRDefault="008D36CA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В нашем исследовании будут браться различные массивы данных, однако основные расчеты будут произведены по базе пятиминутных котировок валютной пары евро доллар.</w:t>
      </w:r>
    </w:p>
    <w:p w:rsidR="0073448C" w:rsidRPr="00456249" w:rsidRDefault="0073448C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Структура работы выстроена следующим образом. В первой главе мы рассмотрим    особенности внутридневной торговли. Выделим ее специфику и попытаемся </w:t>
      </w:r>
      <w:r w:rsidR="00C62C0F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обосновать,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почему целесообразно воспользоваться техническим анализом для внутридневной торговли на рынке форекс. Далее мы приведем характеристику валютный пары евродоллар, расскажем об основных опасностях и выгодах торговли  с использованием этой валютной пары. Так же выделяются некоторые показатели, которые могут представлять интерес при применении фундаментального анализа. Этот анализ был проведен на основе статей представленных в списке литературы.</w:t>
      </w:r>
    </w:p>
    <w:p w:rsidR="0073448C" w:rsidRPr="00456249" w:rsidRDefault="0073448C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 второй части нашей работы будем описан математический </w:t>
      </w:r>
      <w:r w:rsidR="00C35A9C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аппарат,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который использовался для прогнозирования.  Сначала мы рассмотрим принцип работы унитарных оператор на самом простейшем из</w:t>
      </w:r>
      <w:r w:rsidR="00C62C0F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всех возможных, операторе </w:t>
      </w:r>
      <w:r w:rsidR="00C35A9C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Хаузхолдера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, далее будет рассказано о методе главных комп</w:t>
      </w:r>
      <w:r w:rsidR="00C62C0F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нент как способе очистки данных от шумов и </w:t>
      </w:r>
      <w:r w:rsidR="00C35A9C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наконец,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третья и самая интересная глава будет об использовании матрицы Нюстрома как ядра интегрального преобразования функции плотности вероятности.</w:t>
      </w:r>
    </w:p>
    <w:p w:rsidR="0073448C" w:rsidRPr="00456249" w:rsidRDefault="0073448C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Завершим мы наше исследование оценкой трех портфелей построенных на основании трех вышеупомянутых моделей, и оценим эффективность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каждой из них в терминах доходности. Все выводы и результаты получены с использованием построенной модели в Mathcad.</w:t>
      </w:r>
    </w:p>
    <w:p w:rsidR="00080103" w:rsidRPr="00456249" w:rsidRDefault="00080103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C7547" w:rsidRDefault="004C7547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ru-RU"/>
        </w:rPr>
      </w:pPr>
      <w:bookmarkStart w:id="3" w:name="_Toc356831299"/>
      <w:bookmarkStart w:id="4" w:name="_Toc356831755"/>
      <w:r>
        <w:br w:type="page"/>
      </w:r>
    </w:p>
    <w:p w:rsidR="00C62C0F" w:rsidRPr="00456249" w:rsidRDefault="00C62C0F" w:rsidP="00160A4B">
      <w:pPr>
        <w:pStyle w:val="1"/>
        <w:jc w:val="both"/>
      </w:pPr>
      <w:r w:rsidRPr="00456249">
        <w:lastRenderedPageBreak/>
        <w:t>Глава 1.</w:t>
      </w:r>
      <w:bookmarkEnd w:id="3"/>
      <w:bookmarkEnd w:id="4"/>
    </w:p>
    <w:p w:rsidR="00080103" w:rsidRDefault="00080103" w:rsidP="00160A4B">
      <w:pPr>
        <w:pStyle w:val="2"/>
        <w:numPr>
          <w:ilvl w:val="1"/>
          <w:numId w:val="8"/>
        </w:numPr>
        <w:jc w:val="both"/>
      </w:pPr>
      <w:bookmarkStart w:id="5" w:name="_Toc356831300"/>
      <w:bookmarkStart w:id="6" w:name="_Toc356831756"/>
      <w:r w:rsidRPr="00456249">
        <w:t>Характеристика валютной пары евро-доллар.</w:t>
      </w:r>
      <w:bookmarkEnd w:id="5"/>
      <w:bookmarkEnd w:id="6"/>
    </w:p>
    <w:p w:rsidR="00456249" w:rsidRPr="00456249" w:rsidRDefault="00456249" w:rsidP="00160A4B">
      <w:pPr>
        <w:jc w:val="both"/>
      </w:pPr>
    </w:p>
    <w:p w:rsidR="00080103" w:rsidRPr="00456249" w:rsidRDefault="00080103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Доллар и Евро – наиболее популярные валюты, составляющие основу торгового объема на валютном рынке. Пара EUR/USD – наиболее активно торгуемая и ликвидная из всех валютных пар.</w:t>
      </w:r>
    </w:p>
    <w:p w:rsidR="00080103" w:rsidRPr="00456249" w:rsidRDefault="00080103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Можно выделить некоторые особенности торговли валютной парой Евро/Доллар. Среди преимуществ это:</w:t>
      </w:r>
    </w:p>
    <w:p w:rsidR="00080103" w:rsidRPr="00456249" w:rsidRDefault="00080103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высокая ликвидность (высоких спрос хотя бы на одну из двух валют в паре)  </w:t>
      </w:r>
    </w:p>
    <w:p w:rsidR="00080103" w:rsidRPr="00456249" w:rsidRDefault="00080103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высокая волатильность обеспечивает прибыль краткосрочных сделок;</w:t>
      </w:r>
    </w:p>
    <w:p w:rsidR="00080103" w:rsidRPr="00456249" w:rsidRDefault="00080103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относительно небольшой спрэд - разница между ценой покупки (bid) и ценой продажи (ask);</w:t>
      </w:r>
    </w:p>
    <w:p w:rsidR="00080103" w:rsidRPr="00456249" w:rsidRDefault="00080103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котировки EUR/USD являются показательными, например,  для рынка Форекс в целом.</w:t>
      </w:r>
    </w:p>
    <w:p w:rsidR="00080103" w:rsidRPr="00456249" w:rsidRDefault="00080103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большое количество информации об экономической обстановке в США и Европе. Актуальные выходящие экономические новости помогают анализировать дальнейшее изменение цен на валюты в режиме реального времени, предсказывают движение графика валютной пары (вниз или вверх). Сразу после выхода очередной новости можно заметить, как график валютной пары EUR/USD движется в том или ином направлении.</w:t>
      </w:r>
    </w:p>
    <w:p w:rsidR="00080103" w:rsidRPr="00456249" w:rsidRDefault="00080103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Перспектива сделок (продажа, либо покупка) зависит от экономической картины в странах данных валют – США и Еврозоны. Например, показатели изменения уровня безработицы и инфляции, снижение ВВП и т.д. При этом самым важным изменением в мире финансов будет изменение учетной ставки Европейского Банка и ставки ФРС, то есть, уровень процента, который взимается за межбанковские кредиты.</w:t>
      </w:r>
    </w:p>
    <w:p w:rsidR="00080103" w:rsidRPr="00456249" w:rsidRDefault="00080103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Любые устные заявления наиболее авторитетных в мире политики и финансов личностей, влияют на стоимость Евро и Доллара, создавая идеальные предпосылки для краткосрочных сделок. Будь то прогнозы потребительских цен, намеки на изменение политики и т.д. Больше всего игроки рынка Форекс обращают внимание на заявления глав ФРС (Федеральный Резервный Фонд) и Европейского Центрального Банка.</w:t>
      </w:r>
    </w:p>
    <w:p w:rsidR="00080103" w:rsidRPr="00456249" w:rsidRDefault="00080103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Особенности торговли EUR/USD:</w:t>
      </w:r>
    </w:p>
    <w:p w:rsidR="00080103" w:rsidRPr="00456249" w:rsidRDefault="00080103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1. Поведение EUR/USD довольно непредсказуемо и скачкообразно. Желательно ловить разворотные (конечные) точки тенденций понижения или повышения. Если тенденция меняется с восходящей на нисходящую, то нужно продавать (sell), а если с нисходящей на восходящую, то покупать (buy).</w:t>
      </w:r>
    </w:p>
    <w:p w:rsidR="00080103" w:rsidRPr="00456249" w:rsidRDefault="00080103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0103" w:rsidRPr="00456249" w:rsidRDefault="00080103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2. При снижении курса американского доллара, Евро будет укрепляться, и наоборот. Дополнительное руководство трейдера о покупке или продаже – это технические индикаторы и показатели фондового рынка, например: индекс NASDAQ, S&amp;P500 и Dow Jones, а также показатели, определяющие движение цен на акции самых крупных корпораций.</w:t>
      </w:r>
    </w:p>
    <w:p w:rsidR="00080103" w:rsidRPr="00456249" w:rsidRDefault="00080103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3. Цена USD и цена на нефть очень сильно взаимосвязаны (обратная корреляция). При росте цены на нефть доллар падает, а при снижении цены нефти, доллар растет. Иными словами, доллар стремится вслед за нефтью, но в обратном направлении.</w:t>
      </w:r>
    </w:p>
    <w:p w:rsidR="00080103" w:rsidRPr="00456249" w:rsidRDefault="00080103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сравнить два графика: EUR/USD и цен на нефть, то можно заметить, что первый график словно повторяет второй, только с небольшим запозданием. </w:t>
      </w:r>
    </w:p>
    <w:p w:rsidR="00080103" w:rsidRPr="00456249" w:rsidRDefault="00080103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Пары-союзники.</w:t>
      </w:r>
    </w:p>
    <w:p w:rsidR="00080103" w:rsidRPr="00456249" w:rsidRDefault="00080103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 анализе цен на валюту могут использоваться  показатели взаимосвязанных пар – как прямо пропорциональных, так и обратно пропорциональных друг другу. Это, так называемый, метод использования пар-союзников. Рассмотрим следующие пары союзники для валютной пары EUR/USD:</w:t>
      </w:r>
    </w:p>
    <w:p w:rsidR="00080103" w:rsidRPr="00456249" w:rsidRDefault="00080103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1.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ab/>
        <w:t>EUR/GBP, EUR/CHF, EUR/JPY</w:t>
      </w:r>
    </w:p>
    <w:p w:rsidR="00080103" w:rsidRPr="00456249" w:rsidRDefault="00080103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Как правило, движение валютной пары EUR/USD обратно пропорционально движению этих валютных пар. То есть, их рост провоцирует снижение EUR/USD. И хотя рост или падение EUR/USD будет немного запаздывать, но закономерные взаимосвязи EUR/USD с парами Евро/Фунт, Евро/Франк и Евро/Йена всё же существуют;</w:t>
      </w:r>
    </w:p>
    <w:p w:rsidR="00080103" w:rsidRPr="00456249" w:rsidRDefault="00080103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GВР/USD, USD/СНF</w:t>
      </w:r>
    </w:p>
    <w:p w:rsidR="00080103" w:rsidRPr="00456249" w:rsidRDefault="00080103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Котировка EUR/USD прямо пропорциональна паре фунт/доллар и обратно пропорциональна паре доллар/франк. Когда график доллар/франк растет, пара ЕUR/USD снижается, но если при этом фунт/доллар повышается, то и пара ЕUR/USD тоже может значительно вырасти.</w:t>
      </w:r>
    </w:p>
    <w:p w:rsidR="009F6B11" w:rsidRPr="00456249" w:rsidRDefault="00080103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Пара является обратно пропорциональной, а колебания ее графика намного шире размаха EUR/USD. При этом пара USD/CHF намного больше зависит от экономики Соединенных Штатов, чем от экономики Швейцарии. Снижение доллара относительно франка провоцирует рост пары EUR/USD.EUR/USD (Евро-Доллар)  </w:t>
      </w:r>
    </w:p>
    <w:p w:rsidR="004C0CA1" w:rsidRPr="00456249" w:rsidRDefault="008D36CA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Одним из вопросов данной работы так же является вопрос о том насколько глубоко нужно погружаться в то самое прошлое для прогноза на супер коротких диста</w:t>
      </w:r>
      <w:r w:rsidR="004C0CA1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нциях (внутридневная торговля)</w:t>
      </w:r>
    </w:p>
    <w:p w:rsidR="00456249" w:rsidRDefault="004C0CA1" w:rsidP="00160A4B">
      <w:pPr>
        <w:pStyle w:val="2"/>
        <w:numPr>
          <w:ilvl w:val="1"/>
          <w:numId w:val="2"/>
        </w:numPr>
        <w:jc w:val="both"/>
      </w:pPr>
      <w:bookmarkStart w:id="7" w:name="_Toc356831301"/>
      <w:bookmarkStart w:id="8" w:name="_Toc356831757"/>
      <w:r w:rsidRPr="00456249">
        <w:t>Унитарные операторы</w:t>
      </w:r>
      <w:bookmarkEnd w:id="7"/>
      <w:bookmarkEnd w:id="8"/>
    </w:p>
    <w:p w:rsidR="001919BB" w:rsidRPr="001919BB" w:rsidRDefault="001919BB" w:rsidP="001919BB"/>
    <w:p w:rsidR="008121D0" w:rsidRPr="001919BB" w:rsidRDefault="008121D0" w:rsidP="001919BB">
      <w:pPr>
        <w:pStyle w:val="af2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919BB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 </w:t>
      </w:r>
      <w:bookmarkStart w:id="9" w:name="_Toc356831302"/>
      <w:r w:rsidRPr="001919BB">
        <w:rPr>
          <w:rFonts w:ascii="Times New Roman" w:hAnsi="Times New Roman" w:cs="Times New Roman"/>
          <w:sz w:val="28"/>
          <w:szCs w:val="28"/>
        </w:rPr>
        <w:t>Линейный оператор U из L(V, V) называется унитарным, если для любых элементов х и у из V справедливо соотношение</w:t>
      </w:r>
      <w:bookmarkEnd w:id="9"/>
    </w:p>
    <w:p w:rsidR="008121D0" w:rsidRPr="00456249" w:rsidRDefault="001A04DD" w:rsidP="00160A4B">
      <w:pPr>
        <w:pStyle w:val="style1"/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m:oMath>
        <m:d>
          <m:d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n-US"/>
              </w:rPr>
              <m:t>Ux</m:t>
            </m:r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,</m:t>
            </m:r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n-US"/>
              </w:rPr>
              <m:t>Uy</m:t>
            </m: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  <w:lang w:val="en-US"/>
              </w:rPr>
            </m:ctrlPr>
          </m:e>
        </m:d>
        <m:r>
          <w:rPr>
            <w:rFonts w:ascii="Cambria Math" w:hAnsi="Cambria Math"/>
            <w:color w:val="000000" w:themeColor="text1"/>
            <w:sz w:val="28"/>
            <w:szCs w:val="28"/>
          </w:rPr>
          <m:t>=(</m:t>
        </m:r>
        <m:r>
          <w:rPr>
            <w:rFonts w:ascii="Cambria Math" w:hAnsi="Cambria Math"/>
            <w:color w:val="000000" w:themeColor="text1"/>
            <w:sz w:val="28"/>
            <w:szCs w:val="28"/>
            <w:lang w:val="en-US"/>
          </w:rPr>
          <m:t>x</m:t>
        </m:r>
        <m:r>
          <w:rPr>
            <w:rFonts w:ascii="Cambria Math" w:hAnsi="Cambria Math"/>
            <w:color w:val="000000" w:themeColor="text1"/>
            <w:sz w:val="28"/>
            <w:szCs w:val="28"/>
          </w:rPr>
          <m:t>,</m:t>
        </m:r>
        <m:r>
          <w:rPr>
            <w:rFonts w:ascii="Cambria Math" w:hAnsi="Cambria Math"/>
            <w:color w:val="000000" w:themeColor="text1"/>
            <w:sz w:val="28"/>
            <w:szCs w:val="28"/>
            <w:lang w:val="en-US"/>
          </w:rPr>
          <m:t>y</m:t>
        </m:r>
        <m:r>
          <w:rPr>
            <w:rFonts w:ascii="Cambria Math" w:hAnsi="Cambria Math"/>
            <w:color w:val="000000" w:themeColor="text1"/>
            <w:sz w:val="28"/>
            <w:szCs w:val="28"/>
          </w:rPr>
          <m:t>)</m:t>
        </m:r>
      </m:oMath>
      <w:r w:rsidR="008121D0" w:rsidRPr="00456249">
        <w:rPr>
          <w:color w:val="000000" w:themeColor="text1"/>
          <w:sz w:val="28"/>
          <w:szCs w:val="28"/>
        </w:rPr>
        <w:t xml:space="preserve">                          </w:t>
      </w:r>
    </w:p>
    <w:p w:rsidR="008121D0" w:rsidRPr="00456249" w:rsidRDefault="008121D0" w:rsidP="00160A4B">
      <w:pPr>
        <w:pStyle w:val="a9"/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56249">
        <w:rPr>
          <w:color w:val="000000" w:themeColor="text1"/>
          <w:sz w:val="28"/>
          <w:szCs w:val="28"/>
        </w:rPr>
        <w:t>В дальнейшем это соотношение мы будем называть условием унитарности оператора.</w:t>
      </w:r>
      <w:r w:rsidRPr="00456249">
        <w:rPr>
          <w:rStyle w:val="apple-converted-space"/>
          <w:color w:val="000000" w:themeColor="text1"/>
          <w:sz w:val="28"/>
          <w:szCs w:val="28"/>
        </w:rPr>
        <w:t> </w:t>
      </w:r>
      <w:r w:rsidRPr="00456249">
        <w:rPr>
          <w:color w:val="000000" w:themeColor="text1"/>
          <w:sz w:val="28"/>
          <w:szCs w:val="28"/>
        </w:rPr>
        <w:t xml:space="preserve"> Из данного условия следует, что для любого унитарного оператора U справедливо равенство</w:t>
      </w:r>
    </w:p>
    <w:p w:rsidR="00DF3C00" w:rsidRPr="00456249" w:rsidRDefault="001A04DD" w:rsidP="00160A4B">
      <w:pPr>
        <w:pStyle w:val="a9"/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m:oMath>
        <m:d>
          <m:dPr>
            <m:begChr m:val="‖"/>
            <m:endChr m:val="‖"/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n-US"/>
              </w:rPr>
              <m:t>Ux</m:t>
            </m:r>
          </m:e>
        </m:d>
        <m:r>
          <w:rPr>
            <w:rFonts w:ascii="Cambria Math" w:hAnsi="Cambria Math"/>
            <w:color w:val="000000" w:themeColor="text1"/>
            <w:sz w:val="28"/>
            <w:szCs w:val="28"/>
          </w:rPr>
          <m:t>=</m:t>
        </m:r>
        <m:d>
          <m:dPr>
            <m:begChr m:val="‖"/>
            <m:endChr m:val="‖"/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x</m:t>
            </m:r>
          </m:e>
        </m:d>
      </m:oMath>
      <w:r w:rsidR="008121D0" w:rsidRPr="00456249">
        <w:rPr>
          <w:color w:val="000000" w:themeColor="text1"/>
          <w:sz w:val="28"/>
          <w:szCs w:val="28"/>
        </w:rPr>
        <w:t xml:space="preserve">  </w:t>
      </w:r>
      <w:r w:rsidR="008121D0" w:rsidRPr="00456249">
        <w:rPr>
          <w:color w:val="000000" w:themeColor="text1"/>
          <w:sz w:val="28"/>
          <w:szCs w:val="28"/>
        </w:rPr>
        <w:br/>
        <w:t>.</w:t>
      </w:r>
      <w:r w:rsidR="008121D0" w:rsidRPr="00456249">
        <w:rPr>
          <w:rStyle w:val="apple-converted-space"/>
          <w:color w:val="000000" w:themeColor="text1"/>
          <w:sz w:val="28"/>
          <w:szCs w:val="28"/>
        </w:rPr>
        <w:t> </w:t>
      </w:r>
      <w:r w:rsidR="008121D0" w:rsidRPr="00456249">
        <w:rPr>
          <w:color w:val="000000" w:themeColor="text1"/>
          <w:sz w:val="28"/>
          <w:szCs w:val="28"/>
        </w:rPr>
        <w:br/>
        <w:t xml:space="preserve">Если </w:t>
      </w:r>
      <w:r w:rsidR="00DF3C00" w:rsidRPr="00456249">
        <w:rPr>
          <w:rStyle w:val="style2"/>
          <w:color w:val="000000" w:themeColor="text1"/>
          <w:sz w:val="28"/>
          <w:szCs w:val="28"/>
        </w:rPr>
        <w:t>λ</w:t>
      </w:r>
      <w:r w:rsidR="008121D0" w:rsidRPr="00456249">
        <w:rPr>
          <w:color w:val="000000" w:themeColor="text1"/>
          <w:sz w:val="28"/>
          <w:szCs w:val="28"/>
        </w:rPr>
        <w:t xml:space="preserve"> — собственное значение унитарного оператора U, то |</w:t>
      </w:r>
      <w:r w:rsidR="008121D0" w:rsidRPr="00456249">
        <w:rPr>
          <w:rStyle w:val="style2"/>
          <w:color w:val="000000" w:themeColor="text1"/>
          <w:sz w:val="28"/>
          <w:szCs w:val="28"/>
        </w:rPr>
        <w:t>λ</w:t>
      </w:r>
      <w:r w:rsidR="00DF3C00" w:rsidRPr="00456249">
        <w:rPr>
          <w:color w:val="000000" w:themeColor="text1"/>
          <w:sz w:val="28"/>
          <w:szCs w:val="28"/>
        </w:rPr>
        <w:t xml:space="preserve">| = </w:t>
      </w:r>
      <w:r w:rsidR="008121D0" w:rsidRPr="00456249">
        <w:rPr>
          <w:color w:val="000000" w:themeColor="text1"/>
          <w:sz w:val="28"/>
          <w:szCs w:val="28"/>
        </w:rPr>
        <w:t>Действительно, если</w:t>
      </w:r>
      <w:r w:rsidR="008121D0" w:rsidRPr="00456249">
        <w:rPr>
          <w:rStyle w:val="apple-converted-space"/>
          <w:color w:val="000000" w:themeColor="text1"/>
          <w:sz w:val="28"/>
          <w:szCs w:val="28"/>
        </w:rPr>
        <w:t> </w:t>
      </w:r>
      <w:r w:rsidR="008121D0" w:rsidRPr="00456249">
        <w:rPr>
          <w:rStyle w:val="style2"/>
          <w:color w:val="000000" w:themeColor="text1"/>
          <w:sz w:val="28"/>
          <w:szCs w:val="28"/>
        </w:rPr>
        <w:t>λ</w:t>
      </w:r>
      <w:r w:rsidR="008121D0" w:rsidRPr="00456249">
        <w:rPr>
          <w:rStyle w:val="apple-converted-space"/>
          <w:color w:val="000000" w:themeColor="text1"/>
          <w:sz w:val="28"/>
          <w:szCs w:val="28"/>
        </w:rPr>
        <w:t> </w:t>
      </w:r>
      <w:r w:rsidR="008121D0" w:rsidRPr="00456249">
        <w:rPr>
          <w:color w:val="000000" w:themeColor="text1"/>
          <w:sz w:val="28"/>
          <w:szCs w:val="28"/>
        </w:rPr>
        <w:t>— собственное значение U, то существует такой элемент е, что ||е|| = 1 и Ue =</w:t>
      </w:r>
      <w:r w:rsidR="008121D0" w:rsidRPr="00456249">
        <w:rPr>
          <w:rStyle w:val="apple-converted-space"/>
          <w:color w:val="000000" w:themeColor="text1"/>
          <w:sz w:val="28"/>
          <w:szCs w:val="28"/>
        </w:rPr>
        <w:t> </w:t>
      </w:r>
      <w:r w:rsidR="008121D0" w:rsidRPr="00456249">
        <w:rPr>
          <w:rStyle w:val="style2"/>
          <w:color w:val="000000" w:themeColor="text1"/>
          <w:sz w:val="28"/>
          <w:szCs w:val="28"/>
        </w:rPr>
        <w:t>λ</w:t>
      </w:r>
      <w:r w:rsidR="008121D0" w:rsidRPr="00456249">
        <w:rPr>
          <w:color w:val="000000" w:themeColor="text1"/>
          <w:sz w:val="28"/>
          <w:szCs w:val="28"/>
        </w:rPr>
        <w:t>е. Отсюда и из замечания 1 следуют соотношения |</w:t>
      </w:r>
      <w:r w:rsidR="008121D0" w:rsidRPr="00456249">
        <w:rPr>
          <w:rStyle w:val="style2"/>
          <w:color w:val="000000" w:themeColor="text1"/>
          <w:sz w:val="28"/>
          <w:szCs w:val="28"/>
        </w:rPr>
        <w:t>λ</w:t>
      </w:r>
      <w:r w:rsidR="008121D0" w:rsidRPr="00456249">
        <w:rPr>
          <w:color w:val="000000" w:themeColor="text1"/>
          <w:sz w:val="28"/>
          <w:szCs w:val="28"/>
        </w:rPr>
        <w:t>| = ||</w:t>
      </w:r>
      <w:r w:rsidR="008121D0" w:rsidRPr="00456249">
        <w:rPr>
          <w:rStyle w:val="style2"/>
          <w:color w:val="000000" w:themeColor="text1"/>
          <w:sz w:val="28"/>
          <w:szCs w:val="28"/>
        </w:rPr>
        <w:t>λ</w:t>
      </w:r>
      <w:r w:rsidR="008121D0" w:rsidRPr="00456249">
        <w:rPr>
          <w:color w:val="000000" w:themeColor="text1"/>
          <w:sz w:val="28"/>
          <w:szCs w:val="28"/>
        </w:rPr>
        <w:t xml:space="preserve">е|| = ||Ue|| = ||е|| = 1. </w:t>
      </w:r>
      <w:r w:rsidR="00DF3C00" w:rsidRPr="00456249">
        <w:rPr>
          <w:color w:val="000000" w:themeColor="text1"/>
          <w:sz w:val="28"/>
          <w:szCs w:val="28"/>
        </w:rPr>
        <w:t xml:space="preserve"> </w:t>
      </w:r>
    </w:p>
    <w:p w:rsidR="00DF3C00" w:rsidRPr="00456249" w:rsidRDefault="008121D0" w:rsidP="00160A4B">
      <w:pPr>
        <w:pStyle w:val="a9"/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56249">
        <w:rPr>
          <w:color w:val="000000" w:themeColor="text1"/>
          <w:sz w:val="28"/>
          <w:szCs w:val="28"/>
        </w:rPr>
        <w:t>Для того чтобы линейный оператор U, действующий в евклидовом пространстве V, был унитарным, необходимо и достаточно, чтобы было выполнено соотношение</w:t>
      </w:r>
    </w:p>
    <w:p w:rsidR="00DF3C00" w:rsidRPr="00456249" w:rsidRDefault="00DF3C00" w:rsidP="00160A4B">
      <w:pPr>
        <w:pStyle w:val="a9"/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56249">
        <w:rPr>
          <w:color w:val="000000" w:themeColor="text1"/>
          <w:sz w:val="28"/>
          <w:szCs w:val="28"/>
        </w:rPr>
        <w:t> 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U</m:t>
            </m:r>
          </m:e>
          <m:sup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 xml:space="preserve">* </m:t>
            </m:r>
          </m:sup>
        </m:sSup>
        <m:r>
          <w:rPr>
            <w:rFonts w:ascii="Cambria Math" w:hAnsi="Cambria Math"/>
            <w:color w:val="000000" w:themeColor="text1"/>
            <w:sz w:val="28"/>
            <w:szCs w:val="28"/>
          </w:rPr>
          <m:t xml:space="preserve">= 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U</m:t>
            </m:r>
          </m:e>
          <m:sup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-1</m:t>
            </m:r>
          </m:sup>
        </m:sSup>
      </m:oMath>
    </w:p>
    <w:p w:rsidR="008121D0" w:rsidRPr="00456249" w:rsidRDefault="00DF3C00" w:rsidP="00160A4B">
      <w:pPr>
        <w:pStyle w:val="style3"/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56249">
        <w:rPr>
          <w:color w:val="000000" w:themeColor="text1"/>
          <w:sz w:val="28"/>
          <w:szCs w:val="28"/>
        </w:rPr>
        <w:t xml:space="preserve">Так же </w:t>
      </w:r>
      <w:r w:rsidR="008121D0" w:rsidRPr="00456249">
        <w:rPr>
          <w:color w:val="000000" w:themeColor="text1"/>
          <w:sz w:val="28"/>
          <w:szCs w:val="28"/>
        </w:rPr>
        <w:t xml:space="preserve"> условие </w:t>
      </w:r>
      <w:r w:rsidRPr="00456249">
        <w:rPr>
          <w:color w:val="000000" w:themeColor="text1"/>
          <w:sz w:val="28"/>
          <w:szCs w:val="28"/>
        </w:rPr>
        <w:t xml:space="preserve">унитарности оператора U эквивалентно </w:t>
      </w:r>
      <w:r w:rsidR="008121D0" w:rsidRPr="00456249">
        <w:rPr>
          <w:color w:val="000000" w:themeColor="text1"/>
          <w:sz w:val="28"/>
          <w:szCs w:val="28"/>
        </w:rPr>
        <w:t xml:space="preserve"> услови</w:t>
      </w:r>
      <w:r w:rsidRPr="00456249">
        <w:rPr>
          <w:color w:val="000000" w:themeColor="text1"/>
          <w:sz w:val="28"/>
          <w:szCs w:val="28"/>
        </w:rPr>
        <w:t xml:space="preserve">ю </w:t>
      </w:r>
    </w:p>
    <w:p w:rsidR="00DF3C00" w:rsidRPr="00456249" w:rsidRDefault="00DF3C00" w:rsidP="00160A4B">
      <w:pPr>
        <w:pStyle w:val="a9"/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56249">
        <w:rPr>
          <w:color w:val="000000" w:themeColor="text1"/>
          <w:sz w:val="28"/>
          <w:szCs w:val="28"/>
        </w:rPr>
        <w:t> 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U</m:t>
            </m:r>
          </m:e>
          <m:sup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 xml:space="preserve">* </m:t>
            </m:r>
          </m:sup>
        </m:sSup>
        <m:r>
          <w:rPr>
            <w:rFonts w:ascii="Cambria Math" w:hAnsi="Cambria Math"/>
            <w:color w:val="000000" w:themeColor="text1"/>
            <w:sz w:val="28"/>
            <w:szCs w:val="28"/>
            <w:lang w:val="en-US"/>
          </w:rPr>
          <m:t>U</m:t>
        </m:r>
        <m:r>
          <w:rPr>
            <w:rFonts w:ascii="Cambria Math" w:hAnsi="Cambria Math"/>
            <w:color w:val="000000" w:themeColor="text1"/>
            <w:sz w:val="28"/>
            <w:szCs w:val="28"/>
          </w:rPr>
          <m:t>=U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U</m:t>
            </m:r>
          </m:e>
          <m:sup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 xml:space="preserve">* </m:t>
            </m:r>
          </m:sup>
        </m:sSup>
        <m:r>
          <w:rPr>
            <w:rFonts w:ascii="Cambria Math" w:hAnsi="Cambria Math"/>
            <w:color w:val="000000" w:themeColor="text1"/>
            <w:sz w:val="28"/>
            <w:szCs w:val="28"/>
          </w:rPr>
          <m:t>=I</m:t>
        </m:r>
      </m:oMath>
    </w:p>
    <w:p w:rsidR="0073448C" w:rsidRPr="00456249" w:rsidRDefault="00C35A9C" w:rsidP="00160A4B">
      <w:pPr>
        <w:pStyle w:val="a9"/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56249">
        <w:rPr>
          <w:color w:val="000000" w:themeColor="text1"/>
          <w:sz w:val="28"/>
          <w:szCs w:val="28"/>
        </w:rPr>
        <w:t>В нашем исследовании данный тип операторов нас интересует исключительно аз-за их способности сохранять норму, потому как мы уже отмечали выше</w:t>
      </w:r>
      <w:r>
        <w:rPr>
          <w:color w:val="000000" w:themeColor="text1"/>
          <w:sz w:val="28"/>
          <w:szCs w:val="28"/>
        </w:rPr>
        <w:t>,</w:t>
      </w:r>
      <w:r w:rsidRPr="00456249">
        <w:rPr>
          <w:color w:val="000000" w:themeColor="text1"/>
          <w:sz w:val="28"/>
          <w:szCs w:val="28"/>
        </w:rPr>
        <w:t xml:space="preserve"> наше исходное предположение гласит, что субъективные прогнозы валютного курса не обладают свойством «расплывания» во времени.</w:t>
      </w:r>
    </w:p>
    <w:p w:rsidR="004C7547" w:rsidRDefault="004C7547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ru-RU"/>
        </w:rPr>
      </w:pPr>
      <w:bookmarkStart w:id="10" w:name="_Toc356831303"/>
      <w:bookmarkStart w:id="11" w:name="_Toc356831758"/>
      <w:r>
        <w:br w:type="page"/>
      </w:r>
    </w:p>
    <w:p w:rsidR="0073448C" w:rsidRPr="00456249" w:rsidRDefault="00456249" w:rsidP="00160A4B">
      <w:pPr>
        <w:pStyle w:val="1"/>
        <w:jc w:val="both"/>
      </w:pPr>
      <w:r w:rsidRPr="00456249">
        <w:lastRenderedPageBreak/>
        <w:t>Глава 2</w:t>
      </w:r>
      <w:bookmarkEnd w:id="10"/>
      <w:bookmarkEnd w:id="11"/>
    </w:p>
    <w:p w:rsidR="008121D0" w:rsidRPr="00456249" w:rsidRDefault="00456249" w:rsidP="00160A4B">
      <w:pPr>
        <w:pStyle w:val="2"/>
        <w:jc w:val="both"/>
      </w:pPr>
      <w:bookmarkStart w:id="12" w:name="_Toc356831304"/>
      <w:bookmarkStart w:id="13" w:name="_Toc356831759"/>
      <w:r>
        <w:t xml:space="preserve">2.1. </w:t>
      </w:r>
      <w:r w:rsidR="00DF3C00" w:rsidRPr="00456249">
        <w:t>Оператор Хаузхолдера.</w:t>
      </w:r>
      <w:bookmarkEnd w:id="12"/>
      <w:bookmarkEnd w:id="13"/>
    </w:p>
    <w:p w:rsidR="00B0172D" w:rsidRPr="00456249" w:rsidRDefault="00C35A9C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Итак,</w:t>
      </w:r>
      <w:r w:rsidR="00B0172D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начинаем наше исследование с построение довольно простой,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но,</w:t>
      </w:r>
      <w:r w:rsidR="00B0172D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тем не менее все равно дающей свои результаты модели, основанной на преобразовании Хаузхолдера. По своей сути матрица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Хаузхолдера</w:t>
      </w:r>
      <w:r w:rsidR="00B0172D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лине</w:t>
      </w:r>
      <w:r w:rsidR="004C0CA1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="00B0172D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ным оператором, который сохраняет унитарность векторов, при этом мы считаем что у нас нет никаких априорных данных.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То есть мы считаем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процесс ценообразования одномерен и представляет собой просто вектор доходности.</w:t>
      </w:r>
    </w:p>
    <w:p w:rsidR="004C0CA1" w:rsidRPr="00456249" w:rsidRDefault="003C6095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Преобразование </w:t>
      </w:r>
      <w:r w:rsidR="00C35A9C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Хаузхолдера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C0CA1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осуществляется с использованием матрицы </w:t>
      </w:r>
      <w:r w:rsidR="00C35A9C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Хаузхолдера</w:t>
      </w:r>
      <w:r w:rsidR="004C0CA1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, имеющей вид</w:t>
      </w:r>
    </w:p>
    <w:p w:rsidR="004C0CA1" w:rsidRPr="00456249" w:rsidRDefault="004C0CA1" w:rsidP="00160A4B">
      <w:pPr>
        <w:spacing w:line="36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sz w:val="28"/>
              <w:szCs w:val="28"/>
            </w:rPr>
            <m:t xml:space="preserve">H=E- 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2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v</m:t>
                  </m:r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t</m:t>
                  </m:r>
                </m:sup>
              </m:sSup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v</m:t>
              </m:r>
            </m:den>
          </m:f>
          <m:sSup>
            <m:sSup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vv</m:t>
              </m:r>
            </m:e>
            <m:sup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t</m:t>
              </m:r>
            </m:sup>
          </m:sSup>
        </m:oMath>
      </m:oMathPara>
    </w:p>
    <w:p w:rsidR="004C0CA1" w:rsidRPr="00456249" w:rsidRDefault="004C0CA1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0CA1" w:rsidRPr="00456249" w:rsidRDefault="004C0CA1" w:rsidP="00160A4B">
      <w:pPr>
        <w:spacing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Где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 произвольный вектор столбец,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–единичная матрица, </w:t>
      </w:r>
      <m:oMath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vv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t</m:t>
            </m:r>
          </m:sup>
        </m:sSup>
      </m:oMath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квадратная матрица того же размера. </w:t>
      </w:r>
      <w:r w:rsidR="00C35A9C"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Легко убеди</w:t>
      </w:r>
      <w:r w:rsidR="00C35A9C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т</w:t>
      </w:r>
      <w:r w:rsidR="00C35A9C"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ься,  что любая матрица такого вида является симметричной и ортогональной. </w:t>
      </w: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При этом </w:t>
      </w:r>
      <w:r w:rsidR="007406EB"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произвол</w:t>
      </w: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в выборе векторе </w:t>
      </w: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/>
        </w:rPr>
        <w:t>v</w:t>
      </w: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дает возможность построить матрицу, отвечающую некоторым дополнительным требованиям.</w:t>
      </w:r>
    </w:p>
    <w:p w:rsidR="003707BE" w:rsidRPr="00456249" w:rsidRDefault="00C35A9C" w:rsidP="00160A4B">
      <w:pPr>
        <w:spacing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Рассмотрим случай, когда необходимо обратить в ноль все элемент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ы</w:t>
      </w: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какого либо вектора кроме первого, то есть построить матрицу Хаузхолдера такую что:</w:t>
      </w:r>
    </w:p>
    <w:p w:rsidR="003707BE" w:rsidRPr="00456249" w:rsidRDefault="001A04DD" w:rsidP="00160A4B">
      <w:pPr>
        <w:spacing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m:oMath>
        <m:acc>
          <m:accPr>
            <m:chr m:val="̃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b</m:t>
            </m:r>
          </m:e>
        </m:acc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>=Hb,   b=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 xml:space="preserve">…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т</m:t>
                </m:r>
              </m:sub>
            </m:sSub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T</m:t>
            </m:r>
          </m:sup>
        </m:sSup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 xml:space="preserve">, </m:t>
        </m:r>
        <m:acc>
          <m:accPr>
            <m:chr m:val="̃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b</m:t>
            </m:r>
          </m:e>
        </m:acc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(</m:t>
            </m:r>
            <m:acc>
              <m:accPr>
                <m:chr m:val="̃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8"/>
                        <w:szCs w:val="28"/>
                      </w:rPr>
                      <m:t>b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8"/>
                        <w:szCs w:val="28"/>
                      </w:rPr>
                      <m:t>1</m:t>
                    </m:r>
                  </m:sub>
                </m:sSub>
              </m:e>
            </m:acc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,0… 0)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T</m:t>
            </m:r>
          </m:sup>
        </m:sSup>
      </m:oMath>
      <w:r w:rsidR="003707BE"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 </w:t>
      </w:r>
    </w:p>
    <w:p w:rsidR="00401619" w:rsidRPr="00456249" w:rsidRDefault="00401619" w:rsidP="00160A4B">
      <w:pPr>
        <w:spacing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Тогда вектор </w:t>
      </w: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/>
        </w:rPr>
        <w:t>v</w:t>
      </w: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определиться следующим образом </w:t>
      </w:r>
    </w:p>
    <w:p w:rsidR="007B3AEB" w:rsidRPr="00456249" w:rsidRDefault="00401619" w:rsidP="00160A4B">
      <w:pPr>
        <w:spacing w:line="360" w:lineRule="auto"/>
        <w:ind w:firstLine="567"/>
        <w:jc w:val="both"/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color w:val="000000" w:themeColor="text1"/>
              <w:sz w:val="28"/>
              <w:szCs w:val="28"/>
            </w:rPr>
            <m:t>v=b+sign(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eastAsiaTheme="minorEastAsia" w:hAnsi="Cambria Math" w:cs="Times New Roman"/>
                  <w:color w:val="000000" w:themeColor="text1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color w:val="000000" w:themeColor="text1"/>
              <w:sz w:val="28"/>
              <w:szCs w:val="28"/>
            </w:rPr>
            <m:t>)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d>
                <m:dPr>
                  <m:begChr m:val="‖"/>
                  <m:endChr m:val="‖"/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b</m:t>
                  </m:r>
                </m:e>
              </m:d>
            </m:e>
            <m:sub>
              <m:r>
                <w:rPr>
                  <w:rFonts w:ascii="Cambria Math" w:eastAsiaTheme="minorEastAsia" w:hAnsi="Cambria Math" w:cs="Times New Roman"/>
                  <w:color w:val="000000" w:themeColor="text1"/>
                  <w:sz w:val="28"/>
                  <w:szCs w:val="28"/>
                </w:rPr>
                <m:t>2</m:t>
              </m:r>
            </m:sub>
          </m:sSub>
          <m:sSub>
            <m:sSub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sz w:val="28"/>
                  <w:szCs w:val="28"/>
                </w:rPr>
                <m:t xml:space="preserve"> e</m:t>
              </m:r>
            </m:e>
            <m:sub>
              <m:r>
                <w:rPr>
                  <w:rFonts w:ascii="Cambria Math" w:eastAsiaTheme="minorEastAsia" w:hAnsi="Cambria Math" w:cs="Times New Roman"/>
                  <w:color w:val="000000" w:themeColor="text1"/>
                  <w:sz w:val="28"/>
                  <w:szCs w:val="28"/>
                </w:rPr>
                <m:t>1</m:t>
              </m:r>
            </m:sub>
          </m:sSub>
        </m:oMath>
      </m:oMathPara>
    </w:p>
    <w:p w:rsidR="007B3AEB" w:rsidRPr="00456249" w:rsidRDefault="007B3AEB" w:rsidP="00160A4B">
      <w:pPr>
        <w:spacing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lastRenderedPageBreak/>
        <w:t xml:space="preserve">Здесь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</w:rPr>
            </m:ctrlPr>
          </m:sSubPr>
          <m:e>
            <m:d>
              <m:dPr>
                <m:begChr m:val="‖"/>
                <m:endChr m:val="‖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b</m:t>
                </m:r>
              </m:e>
            </m:d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 xml:space="preserve">= 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dPr>
              <m:e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8"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8"/>
                        <w:szCs w:val="28"/>
                      </w:rPr>
                      <m:t>i</m:t>
                    </m:r>
                  </m:sub>
                  <m:sup/>
                  <m:e>
                    <m:sSubSup>
                      <m:sSub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000000" w:themeColor="text1"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2</m:t>
                        </m:r>
                      </m:sup>
                    </m:sSubSup>
                  </m:e>
                </m:nary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Style w:val="ac"/>
            <w:rFonts w:ascii="Cambria Math" w:eastAsiaTheme="minorEastAsia" w:hAnsi="Cambria Math" w:cs="Times New Roman"/>
            <w:i/>
            <w:color w:val="000000" w:themeColor="text1"/>
            <w:sz w:val="28"/>
            <w:szCs w:val="28"/>
          </w:rPr>
          <w:footnoteReference w:id="1"/>
        </m:r>
      </m:oMath>
    </w:p>
    <w:p w:rsidR="003C6095" w:rsidRDefault="00456249" w:rsidP="00160A4B">
      <w:pPr>
        <w:pStyle w:val="2"/>
        <w:jc w:val="both"/>
        <w:rPr>
          <w:rFonts w:eastAsiaTheme="minorEastAsia"/>
        </w:rPr>
      </w:pPr>
      <w:bookmarkStart w:id="14" w:name="_Toc356831305"/>
      <w:bookmarkStart w:id="15" w:name="_Toc356831760"/>
      <w:r>
        <w:rPr>
          <w:rFonts w:eastAsiaTheme="minorEastAsia"/>
        </w:rPr>
        <w:t xml:space="preserve">2.2. </w:t>
      </w:r>
      <w:r w:rsidR="003C6095" w:rsidRPr="00456249">
        <w:rPr>
          <w:rFonts w:eastAsiaTheme="minorEastAsia"/>
        </w:rPr>
        <w:t>Применение метода Хаузхолдера.</w:t>
      </w:r>
      <w:bookmarkEnd w:id="14"/>
      <w:bookmarkEnd w:id="15"/>
    </w:p>
    <w:p w:rsidR="00456249" w:rsidRPr="00456249" w:rsidRDefault="00456249" w:rsidP="00160A4B">
      <w:pPr>
        <w:jc w:val="both"/>
      </w:pPr>
    </w:p>
    <w:p w:rsidR="003C6095" w:rsidRPr="00456249" w:rsidRDefault="003C6095" w:rsidP="00160A4B">
      <w:pPr>
        <w:spacing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Входные данные в модель представляют собой пятиминутные котировки. Для работы с ними нужно взять первую разность логарифмов котировок, так как это, во-первых позволяет перейти к непрерывному процессу, к которому можно применять математический аппарат, а во вторых наиболее объективно отражает способ реакции человека на прирост цены. </w:t>
      </w:r>
    </w:p>
    <w:p w:rsidR="0073448C" w:rsidRPr="00456249" w:rsidRDefault="003C6095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На начальном этапе анализа имеем данные курса валютной пары </w:t>
      </w: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/>
        </w:rPr>
        <w:t>EUR</w:t>
      </w: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/</w:t>
      </w: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/>
        </w:rPr>
        <w:t>USD</w:t>
      </w: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за каждые 5 минут, </w:t>
      </w:r>
      <w:r w:rsidR="0073448C"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всего </w:t>
      </w:r>
      <w:r w:rsidR="0073448C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1000 значений пятиминуток с 26.08.2010.по 31.08.2010  </w:t>
      </w:r>
    </w:p>
    <w:p w:rsidR="003C6095" w:rsidRPr="00456249" w:rsidRDefault="003C6095" w:rsidP="00160A4B">
      <w:pPr>
        <w:spacing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Нам же предстоит работать с доходностью, поэтому нужно преобразовать данные в вектор доходности, где каждое значение определяется как:</w:t>
      </w:r>
    </w:p>
    <w:p w:rsidR="003C6095" w:rsidRPr="00456249" w:rsidRDefault="003C6095" w:rsidP="00160A4B">
      <w:pPr>
        <w:spacing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color w:val="000000" w:themeColor="text1"/>
                  <w:sz w:val="28"/>
                  <w:szCs w:val="28"/>
                  <w:lang w:val="en-US"/>
                </w:rPr>
                <m:t>i</m:t>
              </m:r>
            </m:sub>
          </m:sSub>
          <m:r>
            <w:rPr>
              <w:rFonts w:ascii="Cambria Math" w:eastAsiaTheme="minorEastAsia" w:hAnsi="Cambria Math" w:cs="Times New Roman"/>
              <w:color w:val="000000" w:themeColor="text1"/>
              <w:sz w:val="28"/>
              <w:szCs w:val="28"/>
              <w:lang w:val="en-US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8"/>
              <w:szCs w:val="28"/>
              <w:lang w:val="en-US"/>
            </w:rPr>
            <m:t>ln⁡</m:t>
          </m:r>
          <m:r>
            <w:rPr>
              <w:rFonts w:ascii="Cambria Math" w:eastAsiaTheme="minorEastAsia" w:hAnsi="Cambria Math" w:cs="Times New Roman"/>
              <w:color w:val="000000" w:themeColor="text1"/>
              <w:sz w:val="28"/>
              <w:szCs w:val="28"/>
              <w:lang w:val="en-US"/>
            </w:rPr>
            <m:t>(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i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i-1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color w:val="000000" w:themeColor="text1"/>
              <w:sz w:val="28"/>
              <w:szCs w:val="28"/>
              <w:lang w:val="en-US"/>
            </w:rPr>
            <m:t>)</m:t>
          </m:r>
        </m:oMath>
      </m:oMathPara>
    </w:p>
    <w:p w:rsidR="0073448C" w:rsidRPr="00456249" w:rsidRDefault="0073448C" w:rsidP="00160A4B">
      <w:pPr>
        <w:spacing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После чего нам необходимо определиться с размером </w:t>
      </w:r>
      <w:r w:rsidR="00BF0F01"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(</w:t>
      </w:r>
      <w:r w:rsidR="00BF0F01"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/>
        </w:rPr>
        <w:t>L</w:t>
      </w:r>
      <w:r w:rsidR="00BF0F01"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) </w:t>
      </w: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скользящего окна, однако оценить необходимый размер окна н</w:t>
      </w:r>
      <w:r w:rsidR="00BF0F01"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ам позволит только оценка нашего портфеля, поэтому зададим матрицу Хаузхолдера так, как уже описали это раньше </w:t>
      </w:r>
    </w:p>
    <w:p w:rsidR="00BF0F01" w:rsidRPr="00456249" w:rsidRDefault="00BF0F01" w:rsidP="00160A4B">
      <w:pPr>
        <w:framePr w:w="2397" w:h="975" w:wrap="auto" w:vAnchor="text" w:hAnchor="text" w:x="81" w:y="1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noProof/>
          <w:color w:val="000000" w:themeColor="text1"/>
          <w:position w:val="-45"/>
          <w:sz w:val="28"/>
          <w:szCs w:val="28"/>
          <w:lang w:eastAsia="ru-RU"/>
        </w:rPr>
        <w:drawing>
          <wp:inline distT="0" distB="0" distL="0" distR="0" wp14:anchorId="0838B5F0" wp14:editId="02A8727C">
            <wp:extent cx="1181100" cy="619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F01" w:rsidRPr="00456249" w:rsidRDefault="00BF0F01" w:rsidP="00160A4B">
      <w:pPr>
        <w:spacing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</w:p>
    <w:p w:rsidR="00BF0F01" w:rsidRPr="00456249" w:rsidRDefault="00BF0F01" w:rsidP="00160A4B">
      <w:pPr>
        <w:spacing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Где</w:t>
      </w:r>
    </w:p>
    <w:p w:rsidR="00BF0F01" w:rsidRPr="00456249" w:rsidRDefault="00BF0F01" w:rsidP="00160A4B">
      <w:pPr>
        <w:spacing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/>
        </w:rPr>
        <w:t>E</w:t>
      </w: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– единичная матрица размерностью (</w:t>
      </w: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/>
        </w:rPr>
        <w:t>L</w:t>
      </w: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), </w:t>
      </w:r>
    </w:p>
    <w:p w:rsidR="00BF0F01" w:rsidRPr="00456249" w:rsidRDefault="00BF0F01" w:rsidP="00160A4B">
      <w:pPr>
        <w:spacing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/>
        </w:rPr>
        <w:t>v</w:t>
      </w: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bscript"/>
          <w:lang w:val="en-US"/>
        </w:rPr>
        <w:t>t</w:t>
      </w: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bscript"/>
        </w:rPr>
        <w:t xml:space="preserve">  </w:t>
      </w: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- скользящий вектор доходности, размерностью </w:t>
      </w: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/>
        </w:rPr>
        <w:t>Lx</w:t>
      </w: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1 </w:t>
      </w:r>
    </w:p>
    <w:p w:rsidR="00BC29C1" w:rsidRPr="00456249" w:rsidRDefault="00BC29C1" w:rsidP="00160A4B">
      <w:pPr>
        <w:spacing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lastRenderedPageBreak/>
        <w:t xml:space="preserve">(Надо отметить, что для данного алгоритма оптимаьное количество </w:t>
      </w: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/>
        </w:rPr>
        <w:t>L</w:t>
      </w: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равняется 2)</w:t>
      </w:r>
    </w:p>
    <w:p w:rsidR="00BC29C1" w:rsidRPr="00456249" w:rsidRDefault="00BC29C1" w:rsidP="00160A4B">
      <w:pPr>
        <w:spacing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При этом модель дает сравнительно неплохой результат, по нашему субъективному предположению это может быть объяснено тем, что простому оператору нужен небольшой массив ретроспективных данных, для формирования прогноза. </w:t>
      </w:r>
    </w:p>
    <w:p w:rsidR="00BF0F01" w:rsidRPr="00456249" w:rsidRDefault="00BC29C1" w:rsidP="00160A4B">
      <w:pPr>
        <w:spacing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На следующем этапе </w:t>
      </w:r>
      <w:r w:rsidR="00417EFC"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E470A5"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записываем </w:t>
      </w:r>
      <w:r w:rsidR="00417EFC"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наше</w:t>
      </w:r>
      <w:r w:rsidR="00BF0F01"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торговое правило</w:t>
      </w:r>
    </w:p>
    <w:p w:rsidR="00417EFC" w:rsidRPr="00456249" w:rsidRDefault="00417EFC" w:rsidP="00160A4B">
      <w:pPr>
        <w:framePr w:w="3267" w:h="795" w:wrap="auto" w:vAnchor="text" w:hAnchor="text" w:x="81" w:y="1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noProof/>
          <w:color w:val="000000" w:themeColor="text1"/>
          <w:position w:val="-61"/>
          <w:sz w:val="28"/>
          <w:szCs w:val="28"/>
          <w:lang w:eastAsia="ru-RU"/>
        </w:rPr>
        <w:drawing>
          <wp:inline distT="0" distB="0" distL="0" distR="0" wp14:anchorId="133CBEAA" wp14:editId="1C6B3B68">
            <wp:extent cx="1647825" cy="5048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EFC" w:rsidRPr="00456249" w:rsidRDefault="00417EFC" w:rsidP="00160A4B">
      <w:pPr>
        <w:spacing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</w:p>
    <w:p w:rsidR="00C31224" w:rsidRPr="00456249" w:rsidRDefault="00C31224" w:rsidP="00160A4B">
      <w:pPr>
        <w:spacing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</w:p>
    <w:p w:rsidR="00C31224" w:rsidRPr="00456249" w:rsidRDefault="00C31224" w:rsidP="00160A4B">
      <w:pPr>
        <w:spacing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Оно основано на сравнение средней прогнозных цен и средней «сырого» вектора.</w:t>
      </w:r>
    </w:p>
    <w:p w:rsidR="00C31224" w:rsidRPr="00456249" w:rsidRDefault="00C31224" w:rsidP="00160A4B">
      <w:pPr>
        <w:spacing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Собственно оно нам говорит, вставай в длинную позицию, если наше  субъективное ожидание предвещает рост рынка и вставай в короткую позицию иначе.</w:t>
      </w:r>
    </w:p>
    <w:p w:rsidR="00C31224" w:rsidRPr="00456249" w:rsidRDefault="00C31224" w:rsidP="00160A4B">
      <w:pPr>
        <w:spacing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Это стандартное торговое правило, однако оно показывает не очень хорошие результаты, поэтому мы методом проб и ошибок подобрали более его модифицированную версию </w:t>
      </w:r>
    </w:p>
    <w:p w:rsidR="00C31224" w:rsidRPr="00456249" w:rsidRDefault="00C31224" w:rsidP="00160A4B">
      <w:pPr>
        <w:framePr w:w="3717" w:h="795" w:wrap="auto" w:vAnchor="text" w:hAnchor="text" w:x="81" w:y="1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noProof/>
          <w:color w:val="000000" w:themeColor="text1"/>
          <w:position w:val="-61"/>
          <w:sz w:val="28"/>
          <w:szCs w:val="28"/>
          <w:lang w:eastAsia="ru-RU"/>
        </w:rPr>
        <w:drawing>
          <wp:inline distT="0" distB="0" distL="0" distR="0" wp14:anchorId="58D2BF60" wp14:editId="2804A15D">
            <wp:extent cx="1933575" cy="5048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224" w:rsidRPr="00456249" w:rsidRDefault="00C31224" w:rsidP="00160A4B">
      <w:pPr>
        <w:spacing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</w:p>
    <w:p w:rsidR="00C31224" w:rsidRPr="00456249" w:rsidRDefault="00C31224" w:rsidP="00160A4B">
      <w:pPr>
        <w:spacing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</w:p>
    <w:p w:rsidR="00417EFC" w:rsidRPr="00456249" w:rsidRDefault="00C31224" w:rsidP="00160A4B">
      <w:pPr>
        <w:spacing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В оно гласит, покупай, если мы ожидали10 минут назад более высокую доходность, чем та, что была пять минут назад.  </w:t>
      </w:r>
    </w:p>
    <w:p w:rsidR="00C31224" w:rsidRPr="00456249" w:rsidRDefault="00C31224" w:rsidP="00160A4B">
      <w:pPr>
        <w:spacing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Итоговый выигрыш портфеля составил</w:t>
      </w:r>
      <w:r w:rsid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/>
        </w:rPr>
        <w:t>W</w:t>
      </w:r>
      <w:r w:rsid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=0.</w:t>
      </w:r>
      <w:r w:rsidR="00456249"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033. </w:t>
      </w:r>
      <w:r w:rsid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Динамику портфеля мы можем наблюдать на представленном ниже графике. </w:t>
      </w:r>
    </w:p>
    <w:p w:rsidR="004568CC" w:rsidRDefault="00814363" w:rsidP="004568CC">
      <w:pPr>
        <w:keepNext/>
        <w:framePr w:w="9225" w:h="3780" w:wrap="auto" w:vAnchor="text" w:hAnchor="text" w:x="81" w:y="1"/>
        <w:autoSpaceDE w:val="0"/>
        <w:autoSpaceDN w:val="0"/>
        <w:adjustRightInd w:val="0"/>
        <w:spacing w:after="0" w:line="360" w:lineRule="auto"/>
        <w:ind w:firstLine="567"/>
        <w:jc w:val="both"/>
      </w:pPr>
      <w:r w:rsidRPr="00456249">
        <w:rPr>
          <w:rFonts w:ascii="Times New Roman" w:hAnsi="Times New Roman" w:cs="Times New Roman"/>
          <w:noProof/>
          <w:color w:val="000000" w:themeColor="text1"/>
          <w:position w:val="-378"/>
          <w:sz w:val="28"/>
          <w:szCs w:val="28"/>
          <w:lang w:eastAsia="ru-RU"/>
        </w:rPr>
        <w:lastRenderedPageBreak/>
        <w:drawing>
          <wp:inline distT="0" distB="0" distL="0" distR="0" wp14:anchorId="13C3FF87" wp14:editId="612E96C3">
            <wp:extent cx="5667375" cy="2400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363" w:rsidRPr="00456249" w:rsidRDefault="004568CC" w:rsidP="004568CC">
      <w:pPr>
        <w:pStyle w:val="af7"/>
        <w:framePr w:w="9225" w:h="3780" w:wrap="auto" w:vAnchor="text" w:hAnchor="text" w:x="81" w:y="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t xml:space="preserve">Рисунок </w:t>
      </w:r>
      <w:fldSimple w:instr=" SEQ Рисунок \* ARABIC ">
        <w:r w:rsidR="004C7547">
          <w:rPr>
            <w:noProof/>
          </w:rPr>
          <w:t>1</w:t>
        </w:r>
      </w:fldSimple>
      <w:r>
        <w:t xml:space="preserve"> Динамика портфеля на основе оператора Хаузхолдера</w:t>
      </w:r>
    </w:p>
    <w:p w:rsidR="00456249" w:rsidRDefault="00456249" w:rsidP="00160A4B">
      <w:pPr>
        <w:pStyle w:val="2"/>
        <w:jc w:val="both"/>
        <w:rPr>
          <w:rFonts w:eastAsiaTheme="minorEastAsia"/>
        </w:rPr>
      </w:pPr>
      <w:bookmarkStart w:id="16" w:name="_Toc356831306"/>
      <w:bookmarkStart w:id="17" w:name="_Toc356831761"/>
      <w:r>
        <w:rPr>
          <w:rFonts w:eastAsiaTheme="minorEastAsia"/>
        </w:rPr>
        <w:t>2.3. Метод главных компонент.</w:t>
      </w:r>
      <w:bookmarkEnd w:id="16"/>
      <w:bookmarkEnd w:id="17"/>
    </w:p>
    <w:p w:rsidR="000C5A21" w:rsidRPr="00456249" w:rsidRDefault="00C35A9C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Применение данного метода обуславливается наличием помех и шумов на рынке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устранение которых является одной из важнейших задач любого трейдера. </w:t>
      </w:r>
      <w:r w:rsidR="000C5A21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 как достоверный прогноз может быть построен только при фильтрации исходных данных и использовании только действительно несущей информации для построения своих предположений относительно ценовых колебаний.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того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чтобы использовать математический аппарат первая предпосылка, это наличие у рынка «памяти». </w:t>
      </w:r>
      <w:r w:rsidR="000C5A21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То есть можно сделать прогноз о будущем движении цены, базируясь на данных из прошлого. Под памятью рынка понимается глубина ретроспективных данных, которые влияют на текущий курс</w:t>
      </w:r>
      <w:r w:rsidR="00BC29C1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14363" w:rsidRPr="00456249" w:rsidRDefault="00814363" w:rsidP="00160A4B">
      <w:pPr>
        <w:spacing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нашем прошлом исследовании мы уже сделали вывод о том, какое именно количество ретроспективных данных стоит брать для данного метода. Для  прогноза помощью метода главных </w:t>
      </w:r>
      <w:r w:rsidR="00C35A9C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ком</w:t>
      </w:r>
      <w:r w:rsidR="00C35A9C">
        <w:rPr>
          <w:rFonts w:ascii="Times New Roman" w:hAnsi="Times New Roman" w:cs="Times New Roman"/>
          <w:color w:val="000000" w:themeColor="text1"/>
          <w:sz w:val="28"/>
          <w:szCs w:val="28"/>
        </w:rPr>
        <w:t>понен</w:t>
      </w:r>
      <w:r w:rsidR="00C35A9C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нам необходим скользящий час, то есть размерность </w:t>
      </w: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/>
        </w:rPr>
        <w:t>v</w:t>
      </w: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bscript"/>
          <w:lang w:val="en-US"/>
        </w:rPr>
        <w:t>t</w:t>
      </w: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bscript"/>
        </w:rPr>
        <w:t xml:space="preserve">  </w:t>
      </w: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составит 12</w:t>
      </w: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/>
        </w:rPr>
        <w:t>x</w:t>
      </w: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1</w:t>
      </w:r>
    </w:p>
    <w:p w:rsidR="001A04DD" w:rsidRPr="00456249" w:rsidRDefault="00814363" w:rsidP="00160A4B">
      <w:pPr>
        <w:spacing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Для начала составляем ковариационную матрицу</w:t>
      </w:r>
      <w:r w:rsidR="00727AB9"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727AB9"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/>
        </w:rPr>
        <w:t>R</w:t>
      </w:r>
      <w:r w:rsidR="00727AB9"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bscript"/>
          <w:lang w:val="en-US"/>
        </w:rPr>
        <w:t>k</w:t>
      </w:r>
      <w:r w:rsidR="00727AB9"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bscript"/>
        </w:rPr>
        <w:t xml:space="preserve"> </w:t>
      </w: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размерностью 12х12, таким </w:t>
      </w:r>
      <w:r w:rsidR="00C35A9C"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образом,</w:t>
      </w: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смотрим на </w:t>
      </w:r>
      <w:r w:rsidR="00727AB9"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корреляцию данных внутри часа.</w:t>
      </w:r>
    </w:p>
    <w:p w:rsidR="00727AB9" w:rsidRPr="00456249" w:rsidRDefault="00727AB9" w:rsidP="00160A4B">
      <w:pPr>
        <w:spacing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Потом находим ее собственные вектора</w:t>
      </w:r>
      <w:r w:rsidR="001A04DD" w:rsidRPr="0045624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данной матрицы</w:t>
      </w:r>
    </w:p>
    <w:p w:rsidR="001A04DD" w:rsidRPr="00456249" w:rsidRDefault="001A04DD" w:rsidP="00160A4B">
      <w:pPr>
        <w:framePr w:w="3070" w:h="360" w:wrap="auto" w:vAnchor="text" w:hAnchor="text" w:x="81" w:y="1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noProof/>
          <w:color w:val="000000" w:themeColor="text1"/>
          <w:position w:val="-18"/>
          <w:sz w:val="28"/>
          <w:szCs w:val="28"/>
          <w:lang w:eastAsia="ru-RU"/>
        </w:rPr>
        <w:drawing>
          <wp:inline distT="0" distB="0" distL="0" distR="0" wp14:anchorId="3B6F36A3" wp14:editId="348FD638">
            <wp:extent cx="1057275" cy="2286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Задачу проецирования вектора 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k</m:t>
            </m:r>
          </m:sub>
        </m:sSub>
      </m:oMath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новое пространство, теперь можно записать в расширенной форме</w:t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lang w:val="en-US"/>
                </w:rPr>
                <m:t>j</m:t>
              </m:r>
            </m:sub>
          </m:sSub>
          <m:r>
            <w:rPr>
              <w:rFonts w:ascii="Cambria Math" w:hAnsi="Cambria Math" w:cs="Times New Roman"/>
              <w:color w:val="000000" w:themeColor="text1"/>
              <w:sz w:val="28"/>
              <w:szCs w:val="28"/>
            </w:rPr>
            <m:t>=</m:t>
          </m:r>
          <m:sSubSup>
            <m:sSubSup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j</m:t>
              </m:r>
            </m:sub>
            <m:sup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T</m:t>
              </m:r>
            </m:sup>
          </m:sSubSup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k</m:t>
              </m:r>
            </m:sub>
          </m:sSub>
          <m:r>
            <w:rPr>
              <w:rFonts w:ascii="Cambria Math" w:hAnsi="Cambria Math" w:cs="Times New Roman"/>
              <w:color w:val="000000" w:themeColor="text1"/>
              <w:sz w:val="28"/>
              <w:szCs w:val="28"/>
            </w:rPr>
            <m:t xml:space="preserve">= </m:t>
          </m:r>
          <m:sSubSup>
            <m:sSubSup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k</m:t>
              </m:r>
            </m:sub>
            <m:sup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T</m:t>
              </m:r>
            </m:sup>
          </m:sSubSup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j</m:t>
              </m:r>
            </m:sub>
          </m:sSub>
          <m:r>
            <w:rPr>
              <w:rFonts w:ascii="Cambria Math" w:hAnsi="Cambria Math" w:cs="Times New Roman"/>
              <w:color w:val="000000" w:themeColor="text1"/>
              <w:sz w:val="28"/>
              <w:szCs w:val="28"/>
            </w:rPr>
            <m:t>, j=1,2,…,L</m:t>
          </m:r>
        </m:oMath>
      </m:oMathPara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lang w:val="en-US"/>
                </w:rPr>
                <m:t>j</m:t>
              </m:r>
            </m:sub>
          </m:sSub>
          <m:r>
            <w:rPr>
              <w:rFonts w:ascii="Cambria Math" w:hAnsi="Cambria Math" w:cs="Times New Roman"/>
              <w:color w:val="000000" w:themeColor="text1"/>
              <w:sz w:val="28"/>
              <w:szCs w:val="28"/>
              <w:lang w:val="en-US"/>
            </w:rPr>
            <m:t>∈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lang w:val="en-US"/>
                </w:rPr>
                <m:t>k</m:t>
              </m:r>
            </m:sub>
          </m:sSub>
          <m:r>
            <w:rPr>
              <w:rFonts w:ascii="Cambria Math" w:hAnsi="Cambria Math" w:cs="Times New Roman"/>
              <w:color w:val="000000" w:themeColor="text1"/>
              <w:sz w:val="28"/>
              <w:szCs w:val="28"/>
              <w:lang w:val="en-US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lang w:val="en-US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lang w:val="en-US"/>
                </w:rPr>
                <m:t>,…,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L</m:t>
                  </m:r>
                </m:sub>
              </m:sSub>
            </m:e>
          </m:d>
          <m:r>
            <w:rPr>
              <w:rFonts w:ascii="Cambria Math" w:hAnsi="Cambria Math" w:cs="Times New Roman"/>
              <w:color w:val="000000" w:themeColor="text1"/>
              <w:sz w:val="28"/>
              <w:szCs w:val="28"/>
              <w:lang w:val="en-US"/>
            </w:rPr>
            <m:t>, j=1,2…,L</m:t>
          </m:r>
        </m:oMath>
      </m:oMathPara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Здесь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j</m:t>
            </m:r>
          </m:sub>
        </m:sSub>
      </m:oMath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представляет собой проекции вектора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k</m:t>
            </m:r>
          </m:sub>
        </m:sSub>
      </m:oMath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направления заданные базисом из единичных векторов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j</m:t>
            </m:r>
          </m:sub>
        </m:sSub>
      </m:oMath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Эти проекции и являются, по сути, главными компонентами, логично, что их количество соответствует размерности вектора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k</m:t>
            </m:r>
          </m:sub>
        </m:sSub>
      </m:oMath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(12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1).</w:t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того чтобы восстановить вектор данных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k</m:t>
            </m:r>
          </m:sub>
        </m:sSub>
      </m:oMath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его проекций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j</m:t>
            </m:r>
          </m:sub>
        </m:sSub>
      </m:oMath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нужно сначала объединить множество проекций в единый вектор </w:t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lang w:val="en-US"/>
                </w:rPr>
                <m:t>j</m:t>
              </m:r>
            </m:sub>
          </m:sSub>
          <m:r>
            <w:rPr>
              <w:rFonts w:ascii="Cambria Math" w:hAnsi="Cambria Math" w:cs="Times New Roman"/>
              <w:color w:val="000000" w:themeColor="text1"/>
              <w:sz w:val="28"/>
              <w:szCs w:val="28"/>
              <w:lang w:val="en-US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  <w:lang w:val="en-US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  <w:lang w:val="en-US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  <w:lang w:val="en-US"/>
                    </w:rPr>
                    <m:t xml:space="preserve">,…,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,…,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L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lang w:val="en-US"/>
                </w:rPr>
                <m:t>T</m:t>
              </m:r>
            </m:sup>
          </m:sSup>
          <m:r>
            <w:rPr>
              <w:rFonts w:ascii="Cambria Math" w:hAnsi="Cambria Math" w:cs="Times New Roman"/>
              <w:color w:val="000000" w:themeColor="text1"/>
              <w:sz w:val="28"/>
              <w:szCs w:val="28"/>
              <w:lang w:val="en-US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  <w:lang w:val="en-US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k</m:t>
                  </m:r>
                </m:sub>
                <m:sup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T</m:t>
                  </m:r>
                </m:sup>
              </m:sSubSup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lang w:val="en-US"/>
                </w:rPr>
                <m:t xml:space="preserve">, 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k</m:t>
                  </m:r>
                </m:sub>
                <m:sup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T</m:t>
                  </m:r>
                </m:sup>
              </m:sSubSup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lang w:val="en-US"/>
                </w:rPr>
                <m:t>,…,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k</m:t>
                  </m:r>
                </m:sub>
                <m:sup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T</m:t>
                  </m:r>
                </m:sup>
              </m:sSubSup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L</m:t>
                  </m:r>
                </m:sub>
              </m:sSub>
            </m:e>
          </m:d>
          <m:r>
            <w:rPr>
              <w:rFonts w:ascii="Cambria Math" w:hAnsi="Cambria Math" w:cs="Times New Roman"/>
              <w:color w:val="000000" w:themeColor="text1"/>
              <w:sz w:val="28"/>
              <w:szCs w:val="28"/>
              <w:lang w:val="en-US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lang w:val="en-US"/>
                </w:rPr>
                <m:t>Q</m:t>
              </m:r>
            </m:e>
            <m:sup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lang w:val="en-US"/>
                </w:rPr>
                <m:t>T</m:t>
              </m:r>
            </m:sup>
          </m:sSup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k</m:t>
              </m:r>
            </m:sub>
          </m:sSub>
        </m:oMath>
      </m:oMathPara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этого обе часть уравнения умножаются на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,  и конечная формула для реконструкции будет вида:</w:t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k</m:t>
              </m:r>
            </m:sub>
          </m:sSub>
          <m:r>
            <w:rPr>
              <w:rFonts w:ascii="Cambria Math" w:hAnsi="Cambria Math" w:cs="Times New Roman"/>
              <w:color w:val="000000" w:themeColor="text1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color w:val="000000" w:themeColor="text1"/>
              <w:sz w:val="28"/>
              <w:szCs w:val="28"/>
              <w:lang w:val="en-US"/>
            </w:rPr>
            <m:t>Qa=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lang w:val="en-US"/>
                </w:rPr>
                <m:t>j=1</m:t>
              </m:r>
            </m:sub>
            <m:sup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lang w:val="en-US"/>
                </w:rPr>
                <m:t>L</m:t>
              </m:r>
            </m:sup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j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j</m:t>
                  </m:r>
                </m:sub>
              </m:sSub>
            </m:e>
          </m:nary>
        </m:oMath>
      </m:oMathPara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Очевидно, (но на всякий случай, это было еще раз проверено), что если использовать все 12 главных компонент для восстановления, то мы получим точь в точь такой же вектор данных, что и был первоначально. Но мы- то хотим не этого! Наша задача состоит как раз в том, чтобы получить другой, «чистый» от шума вектор. Итак, перейдем к этапу сокращения размерности.</w:t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Возьмем несколько первых λ: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,…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n</m:t>
            </m:r>
          </m:sub>
        </m:sSub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, n&lt;L</m:t>
        </m:r>
      </m:oMath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 несущих на себе наибольшую нагрузку (имеющие большие дисперсии), и используем для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восстановления только их, тем самым аппроксимируя разложение после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-ого слагаемого. </w:t>
      </w:r>
      <w:r w:rsidRPr="00456249">
        <w:rPr>
          <w:rStyle w:val="ac"/>
          <w:rFonts w:ascii="Times New Roman" w:hAnsi="Times New Roman" w:cs="Times New Roman"/>
          <w:color w:val="000000" w:themeColor="text1"/>
          <w:sz w:val="28"/>
          <w:szCs w:val="28"/>
        </w:rPr>
        <w:footnoteReference w:id="2"/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Линейная проекция из </w:t>
      </w:r>
      <m:oMath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R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 xml:space="preserve">L </m:t>
            </m:r>
          </m:sup>
        </m:sSup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 xml:space="preserve">в 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R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n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 xml:space="preserve"> </m:t>
            </m:r>
          </m:sup>
        </m:sSup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 xml:space="preserve"> </m:t>
        </m:r>
      </m:oMath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(отражение данных в пространство признаков) представляет собой шифратор, а обратная процедура (отображения пространства признаков в пространство данных) называется дешифратором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footnoteReference w:id="3"/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Вид схемы это можно представить как:</w:t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Устройство кодирования</w:t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</w:t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k</m:t>
                        </m:r>
                      </m:sub>
                    </m:sSub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1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k</m:t>
                        </m:r>
                      </m:sub>
                    </m:sSub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2</m:t>
                    </m:r>
                  </m:sub>
                </m:sSub>
              </m:e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…</m:t>
                </m:r>
              </m:e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k</m:t>
                        </m:r>
                      </m:sub>
                    </m:sSub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L</m:t>
                    </m:r>
                  </m:sub>
                </m:sSub>
              </m:e>
            </m:eqArr>
          </m:e>
        </m:d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→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eqArrPr>
              <m:e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T</m:t>
                    </m:r>
                  </m:sup>
                </m:sSubSup>
              </m:e>
              <m:e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T</m:t>
                    </m:r>
                  </m:sup>
                </m:sSubSup>
              </m:e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…</m:t>
                </m:r>
              </m:e>
              <m:e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n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T</m:t>
                    </m:r>
                  </m:sup>
                </m:sSubSup>
              </m:e>
            </m:eqArr>
          </m:e>
        </m:d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→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1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2</m:t>
                    </m:r>
                  </m:sub>
                </m:sSub>
              </m:e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…</m:t>
                </m:r>
              </m:e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  <w:lang w:val="en-US"/>
                      </w:rPr>
                      <m:t>n</m:t>
                    </m:r>
                  </m:sub>
                </m:sSub>
              </m:e>
            </m:eqArr>
          </m:e>
        </m:d>
      </m:oMath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</w:t>
      </w:r>
    </w:p>
    <w:p w:rsidR="001A04DD" w:rsidRPr="00456249" w:rsidRDefault="001A04DD" w:rsidP="00160A4B">
      <w:pPr>
        <w:numPr>
          <w:ilvl w:val="0"/>
          <w:numId w:val="3"/>
        </w:numPr>
        <w:spacing w:line="36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Входной вектор данных </w:t>
      </w:r>
    </w:p>
    <w:p w:rsidR="001A04DD" w:rsidRPr="00456249" w:rsidRDefault="001A04DD" w:rsidP="00160A4B">
      <w:pPr>
        <w:numPr>
          <w:ilvl w:val="0"/>
          <w:numId w:val="3"/>
        </w:numPr>
        <w:spacing w:line="36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Устройство кодирования</w:t>
      </w:r>
    </w:p>
    <w:p w:rsidR="001A04DD" w:rsidRPr="00456249" w:rsidRDefault="001A04DD" w:rsidP="00160A4B">
      <w:pPr>
        <w:numPr>
          <w:ilvl w:val="0"/>
          <w:numId w:val="3"/>
        </w:numPr>
        <w:spacing w:line="36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Вектор главных компонент</w:t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Устройство декодирования</w:t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</w:t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1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2</m:t>
                    </m:r>
                  </m:sub>
                </m:sSub>
              </m:e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…</m:t>
                </m:r>
              </m:e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  <w:lang w:val="en-US"/>
                      </w:rPr>
                      <m:t>n</m:t>
                    </m:r>
                  </m:sub>
                </m:sSub>
              </m:e>
            </m:eqArr>
          </m:e>
        </m:d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→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4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…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8"/>
                          <w:szCs w:val="28"/>
                        </w:rPr>
                        <m:t>n</m:t>
                      </m:r>
                    </m:sub>
                  </m:sSub>
                </m:e>
              </m:mr>
            </m:m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 xml:space="preserve"> </m:t>
            </m:r>
          </m:e>
        </m:d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→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  <m:t>Rec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  <m:t>k</m:t>
                        </m:r>
                      </m:sub>
                    </m:sSub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1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  <m:t>Rec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  <m:t>k</m:t>
                        </m:r>
                      </m:sub>
                    </m:sSub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2</m:t>
                    </m:r>
                  </m:sub>
                </m:sSub>
              </m:e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…</m:t>
                </m:r>
              </m:e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  <m:t>Rec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  <m:t>k</m:t>
                        </m:r>
                      </m:sub>
                    </m:sSub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  <w:lang w:val="en-US"/>
                      </w:rPr>
                      <m:t>n</m:t>
                    </m:r>
                  </m:sub>
                </m:sSub>
              </m:e>
            </m:eqArr>
          </m:e>
        </m:d>
      </m:oMath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</w:t>
      </w:r>
    </w:p>
    <w:p w:rsidR="001A04DD" w:rsidRPr="00456249" w:rsidRDefault="001A04DD" w:rsidP="00160A4B">
      <w:pPr>
        <w:numPr>
          <w:ilvl w:val="0"/>
          <w:numId w:val="4"/>
        </w:numPr>
        <w:spacing w:line="36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Вектор главных компонент</w:t>
      </w:r>
    </w:p>
    <w:p w:rsidR="001A04DD" w:rsidRPr="00456249" w:rsidRDefault="001A04DD" w:rsidP="00160A4B">
      <w:pPr>
        <w:numPr>
          <w:ilvl w:val="0"/>
          <w:numId w:val="4"/>
        </w:numPr>
        <w:spacing w:line="36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Декодер</w:t>
      </w:r>
    </w:p>
    <w:p w:rsidR="001A04DD" w:rsidRPr="00456249" w:rsidRDefault="001A04DD" w:rsidP="00160A4B">
      <w:pPr>
        <w:numPr>
          <w:ilvl w:val="0"/>
          <w:numId w:val="4"/>
        </w:numPr>
        <w:spacing w:line="36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Восстановленный вектор данных</w:t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Итак, суммируя все вышеизложенное. Мы взяли некий скользящий вектор </w:t>
      </w:r>
      <m:oMath>
        <m:sSub>
          <m:sSub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 xml:space="preserve">k  </m:t>
            </m:r>
          </m:sub>
        </m:sSub>
      </m:oMath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нашли его ортогональные проекции наибольшим рассеянием в новом пространстве и потом восстановили его, используя меньшее количество проекций. В итоге мы получили очищенный от шумовой информации вектор</w:t>
      </w:r>
    </w:p>
    <w:p w:rsidR="0066420C" w:rsidRPr="00456249" w:rsidRDefault="00C35A9C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Однако нельзя предположить, что на всем временном промежутке эффективно использовать одно и то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же количество компонент для восстановления. </w:t>
      </w:r>
      <w:r w:rsidR="0066420C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Ведь ситуация на рынке не является стационарной. То, что в одном случае может быть шумом, в другом будет нести важный сигнал о состоянии рынка. </w:t>
      </w:r>
    </w:p>
    <w:p w:rsidR="0066420C" w:rsidRPr="00456249" w:rsidRDefault="0066420C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Движение цены, которое может быть интерпретировано как сигнал в спокойное время, может не нести никакой информации на «нервном» рынке. Таким образом, наша дальнейшая задача сводится к нахождению эффективного количества главных компонент для различных рыночных состояний.</w:t>
      </w:r>
    </w:p>
    <w:p w:rsidR="0066420C" w:rsidRPr="00456249" w:rsidRDefault="0066420C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Итак,  предположим, что ситуация, в которой эффективнее пользоваться прогнозом с сильно сокращенной размерностью, воспринимается людьми как более простая. Т.е. мы можем отбросить большую часть информации, которую рынок нам представляет, отнеся ее к шуму, и сказать, что нужным нам сигнал содержится на 1-2 несущих осях.</w:t>
      </w:r>
    </w:p>
    <w:p w:rsidR="0066420C" w:rsidRPr="00456249" w:rsidRDefault="0066420C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В случае обратном, если пространство подвергается минимальному сокращению, будем считать ситуацию более сложной, т.е. любой сигнал рынка нам важен.</w:t>
      </w:r>
    </w:p>
    <w:p w:rsidR="0066420C" w:rsidRPr="00456249" w:rsidRDefault="0066420C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Так же обозначим ситуацию с высокой волатильностью как неспокойную или «нервную, ситуацию с низкой волатильностью назовем спокойной, продолжим наши дальнейшие рассуждения в этих терминах.</w:t>
      </w:r>
    </w:p>
    <w:p w:rsidR="00546353" w:rsidRPr="00456249" w:rsidRDefault="0066420C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Конечно, на первый взгляд  можно было бы предположить, что ситуация с высокой волатильностью более непредсказуема и тяжела для прогноза, то есть является сложной. С другой стороны, при низкой волатильности каждое отельное колебание будет более существенным. </w:t>
      </w:r>
    </w:p>
    <w:p w:rsidR="0066420C" w:rsidRPr="00456249" w:rsidRDefault="00C35A9C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Пускай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рынок разделен на два кармана, первый карман </w:t>
      </w:r>
      <m:oMath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σϵ(0;0.1)</m:t>
        </m:r>
      </m:oMath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второй </w:t>
      </w:r>
      <m:oMath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σϵ(0,1;∞)</m:t>
        </m:r>
      </m:oMath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причем в таком случае в первый карман попадает 70% всех наблюдений, это значит, что рынок  котировки валютной пары евро доллар чаще характеризуется низкой волатильностью, т.е. спокойным состоянием. </w:t>
      </w:r>
      <w:r w:rsidR="00546353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(Разумеется, за рассмотренный период времени).</w:t>
      </w:r>
    </w:p>
    <w:p w:rsidR="0066420C" w:rsidRPr="00456249" w:rsidRDefault="00546353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Строим два портфеля, </w:t>
      </w:r>
      <w:r w:rsidR="0066420C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значение первого пускай показывает доходность, спрогнозированную при условии: «чем больше волатильность, тем больше информации нам нужно (тем больше </w:t>
      </w:r>
      <w:r w:rsidR="0066420C" w:rsidRPr="0045624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</w:t>
      </w:r>
      <w:r w:rsidR="0066420C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)», второй портфель пускай будет построен по обратному принципу: «чем выше волатильность, тем меньше информации, (тем меньше </w:t>
      </w:r>
      <w:r w:rsidR="0066420C" w:rsidRPr="0045624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</w:t>
      </w:r>
      <w:r w:rsidR="0066420C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)»</w:t>
      </w:r>
    </w:p>
    <w:p w:rsidR="00546353" w:rsidRPr="00456249" w:rsidRDefault="00546353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Причем торговое правило устроение следующим образом</w:t>
      </w:r>
    </w:p>
    <w:p w:rsidR="0086360D" w:rsidRPr="0086360D" w:rsidRDefault="0086360D" w:rsidP="00160A4B">
      <w:pPr>
        <w:framePr w:w="3852" w:h="795" w:wrap="auto" w:vAnchor="text" w:hAnchor="text" w:x="81" w:y="1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noProof/>
          <w:color w:val="000000" w:themeColor="text1"/>
          <w:position w:val="-61"/>
          <w:sz w:val="28"/>
          <w:szCs w:val="28"/>
          <w:lang w:eastAsia="ru-RU"/>
        </w:rPr>
        <w:drawing>
          <wp:inline distT="0" distB="0" distL="0" distR="0" wp14:anchorId="0D19F55E" wp14:editId="37E6D484">
            <wp:extent cx="2019300" cy="504825"/>
            <wp:effectExtent l="0" t="0" r="0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60D" w:rsidRPr="00456249" w:rsidRDefault="0086360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6360D" w:rsidRPr="00456249" w:rsidRDefault="0086360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46353" w:rsidRPr="00456249" w:rsidRDefault="0086360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Оно говорит «покупай» если ожидаемая доходность пять минут назад была выше, чем сейчас и продавай в противном случае.</w:t>
      </w:r>
    </w:p>
    <w:p w:rsidR="00546353" w:rsidRPr="00456249" w:rsidRDefault="0066420C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Выигрыш портфеля, </w:t>
      </w:r>
      <w:r w:rsidR="00546353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второго портфеля больше выигрыша первого на 10%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Оптимальное количество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составило 8 и 2 соответственно. </w:t>
      </w:r>
    </w:p>
    <w:p w:rsidR="00546353" w:rsidRPr="00456249" w:rsidRDefault="00546353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(Пользуясь предыдущими наработками можно сказать, что нас не интересует </w:t>
      </w:r>
      <w:r w:rsidR="00456249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си</w:t>
      </w:r>
      <w:r w:rsidR="00456249">
        <w:rPr>
          <w:rFonts w:ascii="Times New Roman" w:hAnsi="Times New Roman" w:cs="Times New Roman"/>
          <w:color w:val="000000" w:themeColor="text1"/>
          <w:sz w:val="28"/>
          <w:szCs w:val="28"/>
        </w:rPr>
        <w:t>туация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средней волатильности, и нам важно только определение рынка как нервного или спокойного.) </w:t>
      </w:r>
    </w:p>
    <w:p w:rsidR="001A04DD" w:rsidRDefault="00546353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То</w:t>
      </w:r>
      <w:r w:rsidR="0045624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</w:t>
      </w:r>
      <w:r w:rsidR="0066420C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 портфель дает лучший результат, это приводит нас к поистине интересному выводу: более нервный рынок  лучше прогнозируется через большее упрощение рынка! В самом деле, если процесс спокоен, то некое возмущение в нем будет нести нам больший сигнал, чем возмущение того же размера, на нервном рынке, для которого оно является привычным. </w:t>
      </w:r>
    </w:p>
    <w:p w:rsidR="004568CC" w:rsidRDefault="004568CC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Приведем динамику портфеля </w:t>
      </w:r>
    </w:p>
    <w:p w:rsidR="004568CC" w:rsidRDefault="004568CC" w:rsidP="004568CC">
      <w:pPr>
        <w:keepNext/>
        <w:framePr w:w="11132" w:h="2835" w:wrap="auto" w:vAnchor="text" w:hAnchor="text" w:x="81" w:y="1"/>
        <w:autoSpaceDE w:val="0"/>
        <w:autoSpaceDN w:val="0"/>
        <w:adjustRightInd w:val="0"/>
        <w:spacing w:after="0" w:line="240" w:lineRule="auto"/>
      </w:pPr>
      <w:r>
        <w:rPr>
          <w:rFonts w:ascii="Arial" w:hAnsi="Arial" w:cs="Arial"/>
          <w:noProof/>
          <w:position w:val="-283"/>
          <w:sz w:val="20"/>
          <w:szCs w:val="20"/>
          <w:lang w:eastAsia="ru-RU"/>
        </w:rPr>
        <w:drawing>
          <wp:inline distT="0" distB="0" distL="0" distR="0" wp14:anchorId="496EAC97" wp14:editId="35DFEB62">
            <wp:extent cx="5286375" cy="1800225"/>
            <wp:effectExtent l="0" t="0" r="9525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8CC" w:rsidRPr="004568CC" w:rsidRDefault="004568CC" w:rsidP="004568CC">
      <w:pPr>
        <w:pStyle w:val="af7"/>
        <w:framePr w:w="11132" w:h="2835" w:wrap="auto" w:vAnchor="text" w:hAnchor="text" w:x="81" w:y="1"/>
        <w:rPr>
          <w:rFonts w:ascii="Arial" w:hAnsi="Arial" w:cs="Arial"/>
          <w:sz w:val="20"/>
          <w:szCs w:val="20"/>
        </w:rPr>
      </w:pPr>
      <w:r>
        <w:t xml:space="preserve">Рисунок </w:t>
      </w:r>
      <w:fldSimple w:instr=" SEQ Рисунок \* ARABIC ">
        <w:r w:rsidR="004C7547">
          <w:rPr>
            <w:noProof/>
          </w:rPr>
          <w:t>2</w:t>
        </w:r>
      </w:fldSimple>
      <w:r>
        <w:t xml:space="preserve"> Динамика портфеля на базе </w:t>
      </w:r>
      <w:r>
        <w:rPr>
          <w:lang w:val="en-US"/>
        </w:rPr>
        <w:t>PCA</w:t>
      </w:r>
    </w:p>
    <w:p w:rsidR="004568CC" w:rsidRPr="00456249" w:rsidRDefault="00116CDE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Наш окончательный выигрыш у рынка составил 0,02</w:t>
      </w:r>
    </w:p>
    <w:p w:rsidR="0086360D" w:rsidRPr="00456249" w:rsidRDefault="0086360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7547" w:rsidRDefault="004C7547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ru-RU"/>
        </w:rPr>
      </w:pPr>
      <w:bookmarkStart w:id="18" w:name="_Toc356831307"/>
      <w:bookmarkStart w:id="19" w:name="_Toc356831762"/>
      <w:r>
        <w:br w:type="page"/>
      </w:r>
    </w:p>
    <w:p w:rsidR="00456249" w:rsidRDefault="00456249" w:rsidP="00160A4B">
      <w:pPr>
        <w:pStyle w:val="1"/>
        <w:jc w:val="both"/>
      </w:pPr>
      <w:r>
        <w:lastRenderedPageBreak/>
        <w:t>Глава 3.</w:t>
      </w:r>
      <w:bookmarkEnd w:id="18"/>
      <w:bookmarkEnd w:id="19"/>
    </w:p>
    <w:p w:rsidR="00456249" w:rsidRPr="00456249" w:rsidRDefault="00456249" w:rsidP="00160A4B">
      <w:pPr>
        <w:jc w:val="both"/>
        <w:rPr>
          <w:lang w:eastAsia="ru-RU"/>
        </w:rPr>
      </w:pPr>
    </w:p>
    <w:p w:rsidR="001A04DD" w:rsidRDefault="00456249" w:rsidP="00160A4B">
      <w:pPr>
        <w:pStyle w:val="2"/>
        <w:jc w:val="both"/>
      </w:pPr>
      <w:bookmarkStart w:id="20" w:name="_Toc356831308"/>
      <w:bookmarkStart w:id="21" w:name="_Toc356831763"/>
      <w:r>
        <w:t xml:space="preserve">3.1. Переход  к непрерывному процессу. </w:t>
      </w:r>
      <w:r w:rsidR="001A04DD" w:rsidRPr="00456249">
        <w:t>Получение функции плотности вероятности через задачу вариационного вычисления.</w:t>
      </w:r>
      <w:bookmarkEnd w:id="20"/>
      <w:bookmarkEnd w:id="21"/>
    </w:p>
    <w:p w:rsidR="00456249" w:rsidRPr="00456249" w:rsidRDefault="00456249" w:rsidP="00160A4B">
      <w:pPr>
        <w:jc w:val="both"/>
      </w:pPr>
    </w:p>
    <w:p w:rsidR="001A04DD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Исходная функция плотности вероятности распределения ценового процесса 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 wp14:anchorId="2D739CBA" wp14:editId="47505E11">
            <wp:extent cx="1181100" cy="28575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получена из задачи вариационного исчисления. Мы хотели получить функция чуть более </w:t>
      </w:r>
      <w:proofErr w:type="gramStart"/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интересную</w:t>
      </w:r>
      <w:proofErr w:type="gramEnd"/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чем нормальное распределение, поэтому ввели еще один параметр η – параметр скоса.</w:t>
      </w:r>
    </w:p>
    <w:p w:rsidR="004568CC" w:rsidRDefault="004568CC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Вообще выбор функции плотности вероятности это отдельная задача. В данном исследовании метод Нюстрома был опробован на трех типах функций, равномерном распределении, нормальном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распределении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 чего мы остановились на таком варианте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фпв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 так как, обладая тремя ненулевыми моментами, она позволяет нам оценить ценовой процесс более точно.</w:t>
      </w:r>
    </w:p>
    <w:p w:rsidR="004568CC" w:rsidRPr="00456249" w:rsidRDefault="004568CC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Приступим к получению данной функции через задачу вариационного исчисления.</w:t>
      </w:r>
    </w:p>
    <w:p w:rsidR="00160A4B" w:rsidRDefault="00C35A9C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Итак,</w:t>
      </w:r>
      <w:r w:rsidR="001A04DD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сначала задаем функционал, то есть функцию от функции. </w:t>
      </w:r>
      <w:r w:rsidR="001A04DD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 wp14:anchorId="71358B7D" wp14:editId="2E352808">
            <wp:extent cx="2390775" cy="238125"/>
            <wp:effectExtent l="0" t="0" r="9525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Где</w:t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 wp14:anchorId="484D8ADB" wp14:editId="61D4C621">
            <wp:extent cx="66675" cy="161925"/>
            <wp:effectExtent l="0" t="0" r="9525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плотность вероятности случайного процесса или же первая производная распределения </w:t>
      </w:r>
      <w:r w:rsidRPr="00456249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y</w:t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object w:dxaOrig="555" w:dyaOrig="2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75pt;height:12.75pt" o:ole="">
            <v:imagedata r:id="rId19" o:title=""/>
          </v:shape>
          <o:OLEObject Type="Embed" ProgID="Mathcad" ShapeID="_x0000_i1025" DrawAspect="Content" ObjectID="_1430578939" r:id="rId20"/>
        </w:objec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C35A9C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Подынтегральное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выражение - основа статистической энтропии по </w:t>
      </w:r>
      <w:r w:rsidR="00C35A9C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Шеннону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информативность случайного процесса, по сути это и есть  неопределенность. </w:t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Сколько параметро</w:t>
      </w:r>
      <w:r w:rsidR="00160A4B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столько и ограничений, так как операторы линейные, то мы интегрируем данное выражение как сумму. </w:t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object w:dxaOrig="435" w:dyaOrig="255">
          <v:shape id="_x0000_i1026" type="#_x0000_t75" style="width:21.75pt;height:12.75pt" o:ole="">
            <v:imagedata r:id="rId21" o:title=""/>
          </v:shape>
          <o:OLEObject Type="Embed" ProgID="Mathcad" ShapeID="_x0000_i1026" DrawAspect="Content" ObjectID="_1430578940" r:id="rId22"/>
        </w:objec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первый центральный момент, или математическое ожидание</w:t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object w:dxaOrig="510" w:dyaOrig="375">
          <v:shape id="_x0000_i1027" type="#_x0000_t75" style="width:25.5pt;height:18.75pt" o:ole="">
            <v:imagedata r:id="rId23" o:title=""/>
          </v:shape>
          <o:OLEObject Type="Embed" ProgID="Mathcad" ShapeID="_x0000_i1027" DrawAspect="Content" ObjectID="_1430578941" r:id="rId24"/>
        </w:objec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второй центральный момент или дисперсия</w:t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object w:dxaOrig="510" w:dyaOrig="375">
          <v:shape id="_x0000_i1028" type="#_x0000_t75" style="width:25.5pt;height:18.75pt" o:ole="">
            <v:imagedata r:id="rId25" o:title=""/>
          </v:shape>
          <o:OLEObject Type="Embed" ProgID="Mathcad" ShapeID="_x0000_i1028" DrawAspect="Content" ObjectID="_1430578942" r:id="rId26"/>
        </w:objec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третий центральный момент или скос</w:t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Решение задачи вариационного исчисления представляет собой некую функцию, которая обеспечивает минимальное значение  определенного интеграла на области определения, поэтому от оригинала наша запись отличается отсутствием минуса перед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object w:dxaOrig="555" w:dyaOrig="255">
          <v:shape id="_x0000_i1029" type="#_x0000_t75" style="width:27.75pt;height:12.75pt" o:ole="">
            <v:imagedata r:id="rId19" o:title=""/>
          </v:shape>
          <o:OLEObject Type="Embed" ProgID="Mathcad" ShapeID="_x0000_i1029" DrawAspect="Content" ObjectID="_1430578943" r:id="rId27"/>
        </w:objec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Задаем уравнение Эйлера - Лагранжа. Под знаками производных находятся известные функциональные параметры</w:t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d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dy</m:t>
            </m:r>
          </m:den>
        </m:f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 xml:space="preserve"> F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y,</m:t>
            </m:r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δ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,x</m:t>
            </m:r>
          </m:e>
        </m:d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-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d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dx</m:t>
            </m:r>
          </m:den>
        </m:f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 xml:space="preserve"> </m:t>
            </m:r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d</m:t>
                </m:r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d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δ</m:t>
                </m:r>
              </m:den>
            </m:f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 xml:space="preserve"> F</m:t>
            </m:r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y,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δ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,x</m:t>
                </m:r>
              </m:e>
            </m:d>
          </m:e>
        </m:d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 xml:space="preserve">-  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d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dy</m:t>
            </m:r>
          </m:den>
        </m:f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 xml:space="preserve"> 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 xml:space="preserve"> </m:t>
            </m:r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d</m:t>
                </m:r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d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δ</m:t>
                </m:r>
              </m:den>
            </m:f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 xml:space="preserve"> F</m:t>
            </m:r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y,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δ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,x</m:t>
                </m:r>
              </m:e>
            </m:d>
          </m:e>
        </m:d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 xml:space="preserve">-  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bCs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d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δ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 xml:space="preserve"> F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y,</m:t>
            </m:r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δ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,x</m:t>
            </m:r>
          </m:e>
        </m:d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8"/>
            <w:szCs w:val="28"/>
          </w:rPr>
          <m:t>ε</m:t>
        </m:r>
      </m:oMath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object w:dxaOrig="105" w:dyaOrig="255">
          <v:shape id="_x0000_i1030" type="#_x0000_t75" style="width:5.25pt;height:12.75pt" o:ole="">
            <v:imagedata r:id="rId28" o:title=""/>
          </v:shape>
          <o:OLEObject Type="Embed" ProgID="Mathcad" ShapeID="_x0000_i1030" DrawAspect="Content" ObjectID="_1430578944" r:id="rId29"/>
        </w:object>
      </w:r>
      <w:r w:rsidRPr="00160A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первая производная функции распределения</w:t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 wp14:anchorId="3AC1C046" wp14:editId="35FA0091">
            <wp:extent cx="85725" cy="161925"/>
            <wp:effectExtent l="0" t="0" r="9525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A4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</w:t>
      </w:r>
      <w:r w:rsidRPr="0045624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торая производная функции распределения</w:t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Нам интересно найти первую производную</w:t>
      </w:r>
      <w:r w:rsidR="00C35A9C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 есть нашу функцию плотности вероятности, а не функцию распределения y. </w:t>
      </w:r>
      <w:r w:rsidR="00C35A9C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Вот почему мы решаем ура</w:t>
      </w:r>
      <w:r w:rsidR="00C35A9C">
        <w:rPr>
          <w:rFonts w:ascii="Times New Roman" w:hAnsi="Times New Roman" w:cs="Times New Roman"/>
          <w:color w:val="000000" w:themeColor="text1"/>
          <w:sz w:val="28"/>
          <w:szCs w:val="28"/>
        </w:rPr>
        <w:t>внение в отношении</w:t>
      </w:r>
      <w:r w:rsidR="00C35A9C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дельты и уравнение получается первого порядка (а не второго, если бы искали y) В результате получается дифференциальное  уравнение первого порядка для дельты </w:t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 wp14:anchorId="52F48AEC" wp14:editId="0A826E2F">
            <wp:extent cx="2091730" cy="350962"/>
            <wp:effectExtent l="0" t="0" r="381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655" cy="34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Его решение выглядит следующим образом: </w:t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 wp14:anchorId="48C9AA82" wp14:editId="7B9F2839">
            <wp:extent cx="1085922" cy="785004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036" cy="78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Поэтому в конечном виде наше итоговое решение приобретает данный вид. </w:t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 wp14:anchorId="23D6FB3C" wp14:editId="0970EF43">
            <wp:extent cx="1640168" cy="39681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379" cy="39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A04DD" w:rsidRDefault="00160A4B" w:rsidP="00160A4B">
      <w:pPr>
        <w:pStyle w:val="2"/>
        <w:jc w:val="both"/>
      </w:pPr>
      <w:bookmarkStart w:id="22" w:name="_Toc356831309"/>
      <w:bookmarkStart w:id="23" w:name="_Toc356831764"/>
      <w:r>
        <w:t xml:space="preserve">3.2. </w:t>
      </w:r>
      <w:r w:rsidR="001A04DD" w:rsidRPr="00456249">
        <w:t>Оценка параметров распределения и построение оператора Нюстрома.</w:t>
      </w:r>
      <w:bookmarkEnd w:id="22"/>
      <w:bookmarkEnd w:id="23"/>
    </w:p>
    <w:p w:rsidR="00160A4B" w:rsidRPr="00160A4B" w:rsidRDefault="00160A4B" w:rsidP="00160A4B">
      <w:pPr>
        <w:jc w:val="both"/>
      </w:pP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На следующем шаге нам необходимо оценить параметры данного распределения. Сделать это можно через  метод максимального правдоподобия, оценив данное распределение на реальных данных.</w:t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Зададим предполагаемые значения для параметров как </w:t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 wp14:anchorId="4C97953C" wp14:editId="6E450BF7">
            <wp:extent cx="323850" cy="161925"/>
            <wp:effectExtent l="0" t="0" r="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 wp14:anchorId="69E8F585" wp14:editId="291FD3A6">
            <wp:extent cx="333375" cy="161925"/>
            <wp:effectExtent l="0" t="0" r="9525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 wp14:anchorId="45074319" wp14:editId="42A5EDF9">
            <wp:extent cx="323850" cy="161925"/>
            <wp:effectExtent l="0" t="0" r="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 wp14:anchorId="72A745C4" wp14:editId="162C6804">
            <wp:extent cx="333375" cy="161925"/>
            <wp:effectExtent l="0" t="0" r="9525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Далее нам необходимо оценить данную функцию на скользящем векторе реальных данных, подставляем </w:t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 wp14:anchorId="409F2603" wp14:editId="348222A6">
            <wp:extent cx="4951563" cy="853718"/>
            <wp:effectExtent l="0" t="0" r="1905" b="381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499" cy="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Нужно чтобы площадь под кривой была равна единице, после чего мы максимизируем  функцию по всем переменным.</w:t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 wp14:anchorId="7F7800CF" wp14:editId="39C4027B">
            <wp:extent cx="2501654" cy="250166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773" cy="24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4DD" w:rsidRPr="00456249" w:rsidRDefault="00C35A9C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Далее</w:t>
      </w:r>
      <w:r w:rsidR="001A04DD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задаем некий вектор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1A04DD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такой что</w:t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 wp14:anchorId="2F9FF723" wp14:editId="26D8B403">
            <wp:extent cx="733246" cy="293299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3" cy="2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 представляет собой оцененные коэффициенты для функции плотности вероятности. На следующем шаге мы будем эти </w:t>
      </w:r>
      <w:r w:rsidR="00C35A9C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коэффициенты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подставлять в функцию плотности вероятности. То есть пересчет идет для каждого из скользящих векторов. Надо отметить, что в данном случае мы взяли скользящее окно равное 6.</w:t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следующем шаге нам необходимо </w:t>
      </w:r>
      <w:r w:rsidR="00C35A9C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рассчитать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первых  11 моментов для оценки весовой функции.</w:t>
      </w:r>
    </w:p>
    <w:p w:rsidR="001A04DD" w:rsidRPr="00456249" w:rsidRDefault="00160A4B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object w:dxaOrig="2250" w:dyaOrig="810">
          <v:shape id="_x0000_i1031" type="#_x0000_t75" style="width:139.5pt;height:50.25pt" o:ole="">
            <v:imagedata r:id="rId40" o:title=""/>
          </v:shape>
          <o:OLEObject Type="Embed" ProgID="Mathcad" ShapeID="_x0000_i1031" DrawAspect="Content" ObjectID="_1430578945" r:id="rId41"/>
        </w:object>
      </w:r>
    </w:p>
    <w:p w:rsidR="001A04DD" w:rsidRPr="00456249" w:rsidRDefault="00C35A9C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Они нам потребуются для задания полиномов Гамбургера 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Ганкеля. Что самое интересное, полиномы, полученные с использованием матрица Гамбургера Ганкеля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являются ортонормированными по  построению, именно потому что весовая функции для них совпадает с функцией плотности вероятности.</w:t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Всего нам нужно шесть полиномов, можно конечно брать больше, но в данной работе мы считаем, что шесть полиномов вполне достаточно для точного представления функции. </w:t>
      </w:r>
    </w:p>
    <w:p w:rsidR="001A04DD" w:rsidRPr="00456249" w:rsidRDefault="00C35A9C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Теперь мы имеем все необходимое для использования метода Нюстрома, метода при котором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имея систему ортонормированных функций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можем построить матричный оператор.</w:t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object w:dxaOrig="5295" w:dyaOrig="2640">
          <v:shape id="_x0000_i1032" type="#_x0000_t75" style="width:264.75pt;height:132pt" o:ole="">
            <v:imagedata r:id="rId42" o:title=""/>
          </v:shape>
          <o:OLEObject Type="Embed" ProgID="Mathcad" ShapeID="_x0000_i1032" DrawAspect="Content" ObjectID="_1430578946" r:id="rId43"/>
        </w:object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Однако нас не столько интересует  сама матрица </w:t>
      </w:r>
      <w:r w:rsidR="00C35A9C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Нюстрома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сколько ее собственные вектора, ведь именно они и задействованы в конечном преобразовании нашего скользящего вектора доходности. Обозначим их через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val="en-US"/>
        </w:rPr>
        <w:t>t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 xml:space="preserve"> 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Собственные векторы таких этого эрмито</w:t>
      </w:r>
      <w:r w:rsidR="00486EE0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во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го  оператора – дискретные приближения к собственным функциям эрмитовых ядер интегральных операторов – составляют унитарные линейные операторы, которые и обеспечивают эволюцию во времени срезов ценового процесса (точек во многомерном пространстве) при сохранении нормы.</w:t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Тогда преобразование нашего вектора будет происходить следующим образом.</w:t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 wp14:anchorId="627E96B4" wp14:editId="2D685966">
            <wp:extent cx="1311215" cy="383469"/>
            <wp:effectExtent l="0" t="0" r="381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049" cy="38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Где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vecnew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val="en-US"/>
        </w:rPr>
        <w:t>t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 xml:space="preserve">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– прогнозируемый вектор доходности</w:t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val="en-US"/>
        </w:rPr>
        <w:t>T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val="en-US"/>
        </w:rPr>
        <w:t>t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 xml:space="preserve">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86360D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первоначальный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вектор</w:t>
      </w:r>
      <w:r w:rsidR="0086360D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35A9C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доходности</w:t>
      </w:r>
    </w:p>
    <w:p w:rsidR="001A04DD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val="en-US"/>
        </w:rPr>
        <w:t>t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 xml:space="preserve"> 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- собственные вектора оператора Нюстрома.</w:t>
      </w:r>
    </w:p>
    <w:p w:rsidR="00160A4B" w:rsidRDefault="00160A4B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строить стандартное торговое правило, то </w:t>
      </w:r>
      <w:r w:rsidR="00C35A9C">
        <w:rPr>
          <w:rFonts w:ascii="Times New Roman" w:hAnsi="Times New Roman" w:cs="Times New Roman"/>
          <w:color w:val="000000" w:themeColor="text1"/>
          <w:sz w:val="28"/>
          <w:szCs w:val="28"/>
        </w:rPr>
        <w:t>оно даёт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нам крайне неутешительные результаты</w:t>
      </w:r>
    </w:p>
    <w:p w:rsidR="004568CC" w:rsidRDefault="00160A4B" w:rsidP="00116CDE">
      <w:pPr>
        <w:keepNext/>
        <w:framePr w:w="12016" w:h="3075" w:wrap="auto" w:vAnchor="text" w:hAnchor="text" w:x="81" w:y="1"/>
        <w:autoSpaceDE w:val="0"/>
        <w:autoSpaceDN w:val="0"/>
        <w:adjustRightInd w:val="0"/>
        <w:spacing w:after="0" w:line="240" w:lineRule="auto"/>
      </w:pPr>
      <w:r>
        <w:rPr>
          <w:rFonts w:ascii="Arial" w:hAnsi="Arial" w:cs="Arial"/>
          <w:noProof/>
          <w:position w:val="-307"/>
          <w:sz w:val="20"/>
          <w:szCs w:val="20"/>
          <w:lang w:eastAsia="ru-RU"/>
        </w:rPr>
        <w:lastRenderedPageBreak/>
        <w:drawing>
          <wp:inline distT="0" distB="0" distL="0" distR="0" wp14:anchorId="7A7DA8D1" wp14:editId="41C26644">
            <wp:extent cx="5693433" cy="1754985"/>
            <wp:effectExtent l="0" t="0" r="254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341" cy="175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A4B" w:rsidRPr="00160A4B" w:rsidRDefault="004568CC" w:rsidP="004568CC">
      <w:pPr>
        <w:pStyle w:val="af7"/>
        <w:framePr w:w="12016" w:h="3075" w:wrap="auto" w:vAnchor="text" w:hAnchor="text" w:x="81" w:y="1"/>
        <w:rPr>
          <w:rFonts w:ascii="Arial" w:hAnsi="Arial" w:cs="Arial"/>
          <w:sz w:val="20"/>
          <w:szCs w:val="20"/>
        </w:rPr>
      </w:pPr>
      <w:r>
        <w:t xml:space="preserve">Рисунок </w:t>
      </w:r>
      <w:fldSimple w:instr=" SEQ Рисунок \* ARABIC ">
        <w:r w:rsidR="004C7547">
          <w:rPr>
            <w:noProof/>
          </w:rPr>
          <w:t>3</w:t>
        </w:r>
      </w:fldSimple>
      <w:r w:rsidRPr="004568CC">
        <w:t xml:space="preserve"> </w:t>
      </w:r>
      <w:r>
        <w:t>Динамика портфеля на основе оператора Нюстрома</w:t>
      </w:r>
    </w:p>
    <w:p w:rsidR="00160A4B" w:rsidRDefault="00160A4B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0A4B" w:rsidRDefault="00160A4B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0A4B" w:rsidRDefault="00160A4B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Где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val="en-US"/>
        </w:rPr>
        <w:t>t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то торговля с использованием оп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ер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атора Нюстрома, а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val="en-US"/>
        </w:rPr>
        <w:t>t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 xml:space="preserve"> 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представляет собой просто рост рынка.</w:t>
      </w:r>
    </w:p>
    <w:p w:rsidR="001A04DD" w:rsidRPr="00456249" w:rsidRDefault="00160A4B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Данный график показывает, что мы стабильно проигрываем рынку, в конце торговли наш портфель проиграл на 0.278 относительно рынка. </w:t>
      </w:r>
      <w:r w:rsidR="00C35A9C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Как мы видим, наш результат абсолютно противоположен тому, чего мы хотели получить мы, серьезно поигрываем у рынка, а именно  значит ли это, что алгоритм не работает, или просто ожидания строятся не так</w:t>
      </w:r>
      <w:r w:rsidR="00C35A9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35A9C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мы предполагали изначально? </w:t>
      </w:r>
      <w:r w:rsidR="001A04DD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На самом деле, здесь мы сталкиваемся с таким эффектом как обращение средней.</w:t>
      </w:r>
    </w:p>
    <w:p w:rsidR="001A04DD" w:rsidRDefault="00160A4B" w:rsidP="00160A4B">
      <w:pPr>
        <w:pStyle w:val="2"/>
      </w:pPr>
      <w:bookmarkStart w:id="24" w:name="_Toc356831310"/>
      <w:bookmarkStart w:id="25" w:name="_Toc356831765"/>
      <w:r>
        <w:t xml:space="preserve">3.3. </w:t>
      </w:r>
      <w:r w:rsidR="001A04DD" w:rsidRPr="00456249">
        <w:t>Эффект обращения средней</w:t>
      </w:r>
      <w:r>
        <w:t>.</w:t>
      </w:r>
      <w:bookmarkEnd w:id="24"/>
      <w:bookmarkEnd w:id="25"/>
      <w:r>
        <w:t xml:space="preserve"> </w:t>
      </w:r>
    </w:p>
    <w:p w:rsidR="00160A4B" w:rsidRPr="00160A4B" w:rsidRDefault="00160A4B" w:rsidP="00160A4B"/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Математически данный процесс описывается моделью Орнштайн-Уленбека (Ornstein–Uhlenbeck). Этот </w:t>
      </w:r>
      <w:r w:rsidR="00C35A9C">
        <w:rPr>
          <w:rFonts w:ascii="Times New Roman" w:hAnsi="Times New Roman" w:cs="Times New Roman"/>
          <w:color w:val="000000" w:themeColor="text1"/>
          <w:sz w:val="28"/>
          <w:szCs w:val="28"/>
        </w:rPr>
        <w:t>процесс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используется для </w:t>
      </w:r>
      <w:r w:rsidR="00C35A9C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моделирования,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</w:t>
      </w:r>
      <w:r w:rsidR="00C35A9C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процентных ставок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так и курсов ценных бумаг и валют.  В данном случае параметр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 wp14:anchorId="57CC0FDA" wp14:editId="4A891016">
            <wp:extent cx="114300" cy="123825"/>
            <wp:effectExtent l="0" t="0" r="0" b="9525"/>
            <wp:docPr id="60" name="Рисунок 60" descr="Описание: \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\mu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отвечает за математическое ожидание,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 wp14:anchorId="073AF96E" wp14:editId="7C7FB7D7">
            <wp:extent cx="114300" cy="85725"/>
            <wp:effectExtent l="0" t="0" r="0" b="9525"/>
            <wp:docPr id="59" name="Рисунок 59" descr="Описание: \sig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\sigma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волатильность, спровоцированная шоками и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 wp14:anchorId="4ABCACDD" wp14:editId="43407A91">
            <wp:extent cx="85725" cy="133350"/>
            <wp:effectExtent l="0" t="0" r="9525" b="0"/>
            <wp:docPr id="58" name="Рисунок 58" descr="Описание: \th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\theta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35A9C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скорость,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которой от состояния шока переменная вновь возвращается к своему среднему. </w:t>
      </w:r>
    </w:p>
    <w:p w:rsidR="001A04DD" w:rsidRPr="004F1478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Процесс Орнштейна-Уленбека представляет собой  однородный по времени </w:t>
      </w:r>
      <w:r w:rsidR="00C35A9C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Марковский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процесс диффузионного типа</w:t>
      </w:r>
      <w:r w:rsidR="00160A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C35A9C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гауссов кий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процесс,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который имеет ограниченную дисперсию и допускает нестационарные  распределения вероятностей, в отличие от процесса Винеровского процесса, разница между ними заключается в н</w:t>
      </w:r>
      <w:r w:rsidR="00160A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аправлении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движения. Для винеровского процесса оно постоянно, в то время как в модели Орнштайн Уленбека оно зависит от текущего состояния процесса. Если текущее значение меньше среднего, то направление будет положительным и наоборот. Если текущее значение превышает долгосрочную среднюю, то направление будет отрицательным. То есть средняя выступает как точка равновесия для процесса, это и дало процессу его название – обращение средней. Дисперсия процесса задается как  </w:t>
      </w:r>
    </w:p>
    <w:p w:rsidR="001A04DD" w:rsidRPr="004F1478" w:rsidRDefault="004F1478" w:rsidP="00160A4B">
      <w:pPr>
        <w:spacing w:line="36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var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t</m:t>
                </m:r>
              </m:sub>
            </m:sSub>
          </m:e>
        </m:d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σ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2ϴ</m:t>
            </m:r>
          </m:den>
        </m:f>
      </m:oMath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Функция вероятности процесса задается уравнением Фоккера Планка </w:t>
      </w:r>
    </w:p>
    <w:p w:rsidR="001A04DD" w:rsidRPr="004F1478" w:rsidRDefault="004F1478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∂f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∂t</m:t>
              </m:r>
            </m:den>
          </m:f>
          <m:r>
            <w:rPr>
              <w:rFonts w:ascii="Cambria Math" w:hAnsi="Cambria Math" w:cs="Times New Roman"/>
              <w:color w:val="000000" w:themeColor="text1"/>
              <w:sz w:val="28"/>
              <w:szCs w:val="28"/>
              <w:lang w:val="en-US"/>
            </w:rPr>
            <m:t>=</m:t>
          </m:r>
          <m:r>
            <w:rPr>
              <w:rFonts w:ascii="Cambria Math" w:hAnsi="Cambria Math" w:cs="Times New Roman"/>
              <w:color w:val="000000" w:themeColor="text1"/>
              <w:sz w:val="28"/>
              <w:szCs w:val="28"/>
            </w:rPr>
            <m:t>ϴ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∂x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d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x</m:t>
                  </m:r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-µ</m:t>
                  </m:r>
                </m:e>
              </m:d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f</m:t>
              </m:r>
            </m:e>
          </m:d>
          <m:r>
            <w:rPr>
              <w:rFonts w:ascii="Cambria Math" w:hAnsi="Cambria Math" w:cs="Times New Roman"/>
              <w:color w:val="000000" w:themeColor="text1"/>
              <w:sz w:val="28"/>
              <w:szCs w:val="28"/>
              <w:lang w:val="en-US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σ</m:t>
                  </m:r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lang w:val="en-US"/>
                </w:rPr>
                <m:t>2</m:t>
              </m:r>
            </m:den>
          </m:f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∂</m:t>
                  </m:r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 xml:space="preserve">2 </m:t>
                  </m:r>
                </m:sup>
              </m:sSup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f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∂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2</m:t>
                  </m:r>
                </m:sup>
              </m:sSup>
            </m:den>
          </m:f>
        </m:oMath>
      </m:oMathPara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Стандартное решение предполагает</w:t>
      </w:r>
      <w:r w:rsidR="004F1478" w:rsidRPr="004F14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µ</m:t>
        </m:r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=0</m:t>
        </m:r>
      </m:oMath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m:oMath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D=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σ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2</m:t>
            </m:r>
          </m:den>
        </m:f>
      </m:oMath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упрощения и </w:t>
      </w:r>
      <w:r w:rsidR="004F1478">
        <w:rPr>
          <w:rFonts w:ascii="Times New Roman" w:hAnsi="Times New Roman" w:cs="Times New Roman"/>
          <w:color w:val="000000" w:themeColor="text1"/>
          <w:sz w:val="28"/>
          <w:szCs w:val="28"/>
        </w:rPr>
        <w:t>ξ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 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представимо как ,</w:t>
      </w:r>
    </w:p>
    <w:p w:rsidR="001A04DD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4F1478" w:rsidRPr="004F1478" w:rsidRDefault="004F1478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sz w:val="28"/>
              <w:szCs w:val="28"/>
              <w:lang w:val="en-US"/>
            </w:rPr>
            <m:t>f</m:t>
          </m:r>
          <m:d>
            <m:d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lang w:val="en-US"/>
                </w:rPr>
                <m:t>x,t</m:t>
              </m:r>
            </m:e>
          </m:d>
          <m:r>
            <w:rPr>
              <w:rFonts w:ascii="Cambria Math" w:hAnsi="Cambria Math" w:cs="Times New Roman"/>
              <w:color w:val="000000" w:themeColor="text1"/>
              <w:sz w:val="28"/>
              <w:szCs w:val="28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ϴ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2πD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8"/>
                              <w:szCs w:val="28"/>
                              <w:lang w:val="en-US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8"/>
                              <w:szCs w:val="28"/>
                              <w:lang w:val="en-US"/>
                            </w:rPr>
                            <m:t>-2</m:t>
                          </m:r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8"/>
                              <w:szCs w:val="28"/>
                            </w:rPr>
                            <m:t>ϴt</m:t>
                          </m:r>
                        </m:sup>
                      </m:sSup>
                    </m:e>
                  </m:d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lang w:val="en-US"/>
                </w:rPr>
                <m:t>exp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8"/>
                          <w:szCs w:val="28"/>
                        </w:rPr>
                        <m:t>-ϴ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2D</m:t>
                      </m:r>
                    </m:den>
                  </m:f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8"/>
                              <w:szCs w:val="28"/>
                              <w:lang w:val="en-US"/>
                            </w:rPr>
                            <m:t>x-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8"/>
                              <w:szCs w:val="28"/>
                            </w:rPr>
                            <m:t>ξ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8"/>
                                  <w:szCs w:val="28"/>
                                  <w:lang w:val="en-US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8"/>
                                  <w:szCs w:val="28"/>
                                  <w:lang w:val="en-US"/>
                                </w:rPr>
                                <m:t>-2</m:t>
                              </m:r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  <m:t>ϴt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8"/>
                              <w:szCs w:val="28"/>
                              <w:lang w:val="en-US"/>
                            </w:rPr>
                            <m:t>1-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8"/>
                                  <w:szCs w:val="28"/>
                                  <w:lang w:val="en-US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8"/>
                                  <w:szCs w:val="28"/>
                                  <w:lang w:val="en-US"/>
                                </w:rPr>
                                <m:t>-2</m:t>
                              </m:r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  <m:t>ϴt</m:t>
                              </m:r>
                            </m:sup>
                          </m:sSup>
                        </m:den>
                      </m:f>
                    </m:e>
                  </m:d>
                </m:e>
              </m:d>
            </m:e>
          </m:rad>
        </m:oMath>
      </m:oMathPara>
    </w:p>
    <w:p w:rsidR="001A04DD" w:rsidRPr="00456249" w:rsidRDefault="00C35A9C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Стационарное решение это предел с временем устремленным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бесконечность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со средней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µ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дисперсией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σ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2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ϴ</m:t>
            </m:r>
          </m:den>
        </m:f>
      </m:oMath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footnoteReference w:id="4"/>
      </w:r>
    </w:p>
    <w:p w:rsidR="001A04DD" w:rsidRPr="004F1478" w:rsidRDefault="004F1478" w:rsidP="00160A4B">
      <w:pPr>
        <w:spacing w:line="36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 xml:space="preserve">s 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Cambria Math" w:cs="Times New Roman"/>
              <w:color w:val="000000" w:themeColor="text1"/>
              <w:sz w:val="28"/>
              <w:szCs w:val="28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ϴ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2πD</m:t>
                  </m:r>
                </m:den>
              </m:f>
            </m:e>
          </m:rad>
          <m:d>
            <m:d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e</m:t>
                  </m:r>
                </m:e>
                <m:sup>
                  <m:f>
                    <m:fPr>
                      <m:type m:val="lin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8"/>
                          <w:szCs w:val="28"/>
                          <w:lang w:val="en-US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8"/>
                          <w:szCs w:val="28"/>
                        </w:rPr>
                        <m:t>ϴ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  <m:t>x</m:t>
                              </m:r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8"/>
                                  <w:szCs w:val="28"/>
                                  <w:lang w:val="en-US"/>
                                </w:rPr>
                                <m:t>-µ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8"/>
                              <w:szCs w:val="28"/>
                            </w:rPr>
                            <m:t>σ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p>
                    </m:den>
                  </m:f>
                </m:sup>
              </m:sSup>
            </m:e>
          </m:d>
        </m:oMath>
      </m:oMathPara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Однако как это нам помогает улучшить наш результат? Все очень просто. Применительно к рынку данный процесс может быть объяснен следующим образом</w:t>
      </w:r>
      <w:r w:rsidR="00C35A9C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предполагаем, что высокие и низкие цены на рынке есть понятие временное и с течением времени, цена будет стремиться к своему среднему значению. То есть в данном случае, когда по нашему субъективному представление о рынке  средняя актива ниже, чем его реальная средняя, то это значит, что актив недооценен и нужно покупать, и наоборот, если мы считаем, что на самом деле средняя выше, значит актив переоценен и его надо продавать.</w:t>
      </w:r>
    </w:p>
    <w:p w:rsidR="001A04DD" w:rsidRPr="00456249" w:rsidRDefault="00C35A9C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Значит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улучшения нашего</w:t>
      </w:r>
      <w:r w:rsidRPr="004F14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прогноза нужно просто поменять знаки в торговом правиле, теперь оно будет гласить «продавай» если средняя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прогнозного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вектора больше средней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рыночного, причем наблюдаемой пять минут назад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наоборот.</w:t>
      </w:r>
    </w:p>
    <w:p w:rsidR="006007AF" w:rsidRPr="006007AF" w:rsidRDefault="006007AF" w:rsidP="006007AF">
      <w:pPr>
        <w:framePr w:w="4677" w:h="795" w:wrap="auto" w:vAnchor="text" w:hAnchor="text" w:x="81" w:y="1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position w:val="-61"/>
          <w:sz w:val="20"/>
          <w:szCs w:val="20"/>
          <w:lang w:eastAsia="ru-RU"/>
        </w:rPr>
        <w:drawing>
          <wp:inline distT="0" distB="0" distL="0" distR="0" wp14:anchorId="7892E7DE" wp14:editId="36D61F4B">
            <wp:extent cx="2545080" cy="509270"/>
            <wp:effectExtent l="0" t="0" r="0" b="508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A04DD" w:rsidRPr="00456249" w:rsidRDefault="00F4262A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На графике это выглядит как</w:t>
      </w:r>
      <w:r w:rsidR="001A04DD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 wp14:anchorId="4F7B4C73" wp14:editId="4830A733">
            <wp:extent cx="5905500" cy="227647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2A" w:rsidRPr="00456249" w:rsidRDefault="00F4262A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Мы выигрываем у рынка на рассматриваемом промежутке в 2,422 раза, это действительно хороший результат, однако необходимо оценить насколько это превышение случайно, для этого можно построи</w:t>
      </w:r>
      <w:r w:rsidR="00512E72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ть </w:t>
      </w:r>
      <w:r w:rsidR="00512E72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доверительный интервал, для нашего торгового правила и оценить как часто рыночная цена на самом деле «выбивается» из него.</w:t>
      </w:r>
    </w:p>
    <w:p w:rsidR="00512E72" w:rsidRPr="00456249" w:rsidRDefault="006007AF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object w:dxaOrig="5475" w:dyaOrig="360">
          <v:shape id="_x0000_i1033" type="#_x0000_t75" style="width:324pt;height:21.75pt" o:ole="">
            <v:imagedata r:id="rId51" o:title=""/>
          </v:shape>
          <o:OLEObject Type="Embed" ProgID="Mathcad" ShapeID="_x0000_i1033" DrawAspect="Content" ObjectID="_1430578947" r:id="rId52"/>
        </w:object>
      </w:r>
    </w:p>
    <w:p w:rsidR="00512E72" w:rsidRPr="00456249" w:rsidRDefault="00512E72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Где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mean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TR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)-  средняя доходность портфеля  за периода</w:t>
      </w:r>
    </w:p>
    <w:p w:rsidR="00512E72" w:rsidRPr="00456249" w:rsidRDefault="00512E72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45624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stdev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gramEnd"/>
      <w:r w:rsidRPr="0045624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TR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 - </w:t>
      </w:r>
      <w:r w:rsidR="00116CDE">
        <w:rPr>
          <w:rFonts w:ascii="Times New Roman" w:hAnsi="Times New Roman" w:cs="Times New Roman"/>
          <w:color w:val="000000" w:themeColor="text1"/>
          <w:sz w:val="28"/>
          <w:szCs w:val="28"/>
        </w:rPr>
        <w:t>среднее квадратичное отклонение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доходности портфеля</w:t>
      </w:r>
    </w:p>
    <w:p w:rsidR="00512E72" w:rsidRPr="00456249" w:rsidRDefault="00512E72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val="en-US"/>
        </w:rPr>
        <w:t>t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 xml:space="preserve"> 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- рыночная доходность</w:t>
      </w:r>
    </w:p>
    <w:p w:rsidR="003A6C16" w:rsidRPr="00456249" w:rsidRDefault="00512E72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Теперь мы можем посчитать, сколько наблюдений выбилось из этого интервала, оказалось, что всего 51 наблюдение, это составляет </w:t>
      </w:r>
      <w:r w:rsidR="003A6C16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5,1% это очень близко к пяти процентному порогу, который мы задали изначально, так что мы можем сказать, что наше превышение над рынком не случайно и данная стратегия действительно работает. Это становится третьим подтверждением нашего предположения нашей гипотезы, о </w:t>
      </w:r>
      <w:r w:rsidR="00C35A9C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том,</w:t>
      </w:r>
      <w:r w:rsidR="003A6C16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субъективное восприятие рынка и прогнозы сохраняют свою норму во времени.</w:t>
      </w:r>
    </w:p>
    <w:p w:rsidR="003A6C16" w:rsidRPr="00456249" w:rsidRDefault="003A6C16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Для большей наглядности приведем небольшую обобщающую статистику по описанным выше моделям.</w:t>
      </w:r>
    </w:p>
    <w:p w:rsidR="004C7547" w:rsidRDefault="004C7547" w:rsidP="004C7547">
      <w:pPr>
        <w:pStyle w:val="af7"/>
        <w:keepNext/>
      </w:pPr>
      <w:r>
        <w:t xml:space="preserve">Таблица </w:t>
      </w:r>
      <w:fldSimple w:instr=" SEQ Таблица \* ARABIC ">
        <w:r>
          <w:rPr>
            <w:noProof/>
          </w:rPr>
          <w:t>1</w:t>
        </w:r>
      </w:fldSimple>
      <w:r>
        <w:rPr>
          <w:noProof/>
        </w:rPr>
        <w:t xml:space="preserve">  Сравнение эффективности унитарных операторов</w:t>
      </w:r>
    </w:p>
    <w:tbl>
      <w:tblPr>
        <w:tblStyle w:val="ad"/>
        <w:tblW w:w="7033" w:type="dxa"/>
        <w:jc w:val="center"/>
        <w:tblLook w:val="04A0" w:firstRow="1" w:lastRow="0" w:firstColumn="1" w:lastColumn="0" w:noHBand="0" w:noVBand="1"/>
      </w:tblPr>
      <w:tblGrid>
        <w:gridCol w:w="2277"/>
        <w:gridCol w:w="1189"/>
        <w:gridCol w:w="1189"/>
        <w:gridCol w:w="1189"/>
        <w:gridCol w:w="1189"/>
      </w:tblGrid>
      <w:tr w:rsidR="00456249" w:rsidRPr="00456249" w:rsidTr="00116CDE">
        <w:trPr>
          <w:trHeight w:val="37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4DD" w:rsidRPr="00456249" w:rsidRDefault="001A04DD" w:rsidP="006007AF">
            <w:pPr>
              <w:spacing w:after="20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4DD" w:rsidRPr="00456249" w:rsidRDefault="001A04DD" w:rsidP="006007AF">
            <w:pPr>
              <w:spacing w:after="20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45624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4DD" w:rsidRPr="00456249" w:rsidRDefault="001A04DD" w:rsidP="006007AF">
            <w:pPr>
              <w:spacing w:after="20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45624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F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4DD" w:rsidRPr="00456249" w:rsidRDefault="001A04DD" w:rsidP="006007AF">
            <w:pPr>
              <w:spacing w:after="20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45624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WR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4DD" w:rsidRPr="00456249" w:rsidRDefault="001A04DD" w:rsidP="006007AF">
            <w:pPr>
              <w:spacing w:after="20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45624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W</w:t>
            </w:r>
          </w:p>
        </w:tc>
      </w:tr>
      <w:tr w:rsidR="00456249" w:rsidRPr="00456249" w:rsidTr="00116CDE">
        <w:trPr>
          <w:trHeight w:val="37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4DD" w:rsidRPr="00456249" w:rsidRDefault="001A04DD" w:rsidP="006007AF">
            <w:pPr>
              <w:spacing w:after="20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62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Хаузхолдер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4DD" w:rsidRPr="00456249" w:rsidRDefault="001A04DD" w:rsidP="006007AF">
            <w:pPr>
              <w:spacing w:after="20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45624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0,2</w:t>
            </w:r>
            <w:r w:rsidRPr="004562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4DD" w:rsidRPr="00456249" w:rsidRDefault="001A04DD" w:rsidP="006007AF">
            <w:pPr>
              <w:spacing w:after="20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45624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0,502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4DD" w:rsidRPr="00456249" w:rsidRDefault="001A04DD" w:rsidP="006007AF">
            <w:pPr>
              <w:spacing w:after="20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624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0,</w:t>
            </w:r>
            <w:r w:rsidRPr="004562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4DD" w:rsidRPr="00456249" w:rsidRDefault="001A04DD" w:rsidP="006007AF">
            <w:pPr>
              <w:spacing w:after="20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624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0,0</w:t>
            </w:r>
            <w:r w:rsidRPr="004562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</w:t>
            </w:r>
          </w:p>
        </w:tc>
      </w:tr>
      <w:tr w:rsidR="00456249" w:rsidRPr="00456249" w:rsidTr="00116CDE">
        <w:trPr>
          <w:trHeight w:val="37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4DD" w:rsidRPr="00456249" w:rsidRDefault="003A6C16" w:rsidP="006007AF">
            <w:pPr>
              <w:spacing w:after="20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45624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PCA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4DD" w:rsidRPr="00456249" w:rsidRDefault="001A04DD" w:rsidP="006007AF">
            <w:pPr>
              <w:spacing w:after="20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624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0,2</w:t>
            </w:r>
            <w:r w:rsidRPr="004562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4DD" w:rsidRPr="00456249" w:rsidRDefault="001A04DD" w:rsidP="006007AF">
            <w:pPr>
              <w:spacing w:after="20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45624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0,502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4DD" w:rsidRPr="00456249" w:rsidRDefault="001A04DD" w:rsidP="006007AF">
            <w:pPr>
              <w:spacing w:after="20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45624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0,5</w:t>
            </w:r>
            <w:r w:rsidR="003A6C16" w:rsidRPr="0045624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4DD" w:rsidRPr="00456249" w:rsidRDefault="001A04DD" w:rsidP="006007AF">
            <w:pPr>
              <w:spacing w:after="20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624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0,0</w:t>
            </w:r>
            <w:r w:rsidRPr="004562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456249" w:rsidRPr="00456249" w:rsidTr="00116CDE">
        <w:trPr>
          <w:trHeight w:val="37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4DD" w:rsidRPr="00456249" w:rsidRDefault="001A04DD" w:rsidP="006007AF">
            <w:pPr>
              <w:spacing w:after="20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62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Нюстром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4DD" w:rsidRPr="00456249" w:rsidRDefault="001A04DD" w:rsidP="006007AF">
            <w:pPr>
              <w:spacing w:after="20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45624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0,261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4DD" w:rsidRPr="00456249" w:rsidRDefault="001A04DD" w:rsidP="006007AF">
            <w:pPr>
              <w:spacing w:after="20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45624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0,502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4DD" w:rsidRPr="00456249" w:rsidRDefault="001A04DD" w:rsidP="006007AF">
            <w:pPr>
              <w:spacing w:after="20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45624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0,52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4DD" w:rsidRPr="00456249" w:rsidRDefault="001A04DD" w:rsidP="004C7547">
            <w:pPr>
              <w:keepNext/>
              <w:spacing w:after="20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562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2,44</w:t>
            </w:r>
          </w:p>
        </w:tc>
      </w:tr>
    </w:tbl>
    <w:p w:rsidR="004C7547" w:rsidRDefault="004C7547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A04DD" w:rsidRPr="00456249" w:rsidRDefault="00C35A9C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Где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процент наблюдений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котором наша доходность превышала рыночную</w:t>
      </w:r>
    </w:p>
    <w:p w:rsidR="00A322DB" w:rsidRPr="00456249" w:rsidRDefault="00C35A9C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lastRenderedPageBreak/>
        <w:t>F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процент наблюдений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которых рыночная цена была отрицательна</w:t>
      </w:r>
    </w:p>
    <w:p w:rsidR="00A322DB" w:rsidRPr="00456249" w:rsidRDefault="00A322DB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WR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=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процент наблюдений когда мы предсказали падение рынка.</w:t>
      </w:r>
    </w:p>
    <w:p w:rsidR="00A322DB" w:rsidRPr="00456249" w:rsidRDefault="00CC26E7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- доходность нашего портфеля на конец рассматриваемого периода.</w:t>
      </w:r>
    </w:p>
    <w:p w:rsidR="00CC26E7" w:rsidRPr="00456249" w:rsidRDefault="00CC26E7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Как мы видим не всегда самый сложный метод – наиболее результативный, так на данной выборке, простейший алгоритм Хаузхолдера оказался более результативным, нежели метод главных компонент. При этом метод Нюстрома, несомненно, дает наилучший результат из трех алгоритмов.</w:t>
      </w: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A04DD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7547" w:rsidRDefault="004C7547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ru-RU"/>
        </w:rPr>
      </w:pPr>
      <w:bookmarkStart w:id="26" w:name="_Toc356831311"/>
      <w:bookmarkStart w:id="27" w:name="_Toc356831766"/>
      <w:r>
        <w:br w:type="page"/>
      </w:r>
    </w:p>
    <w:p w:rsidR="001A04DD" w:rsidRDefault="00D612FE" w:rsidP="00D612FE">
      <w:pPr>
        <w:pStyle w:val="1"/>
      </w:pPr>
      <w:r>
        <w:lastRenderedPageBreak/>
        <w:t>Заключение</w:t>
      </w:r>
      <w:bookmarkEnd w:id="26"/>
      <w:bookmarkEnd w:id="27"/>
    </w:p>
    <w:p w:rsidR="00D612FE" w:rsidRPr="00D612FE" w:rsidRDefault="00D612FE" w:rsidP="00D612FE">
      <w:pPr>
        <w:rPr>
          <w:lang w:eastAsia="ru-RU"/>
        </w:rPr>
      </w:pPr>
    </w:p>
    <w:p w:rsidR="001A04DD" w:rsidRPr="00456249" w:rsidRDefault="00C35A9C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Итак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нашей работе была поставлена гипотеза о том, что массовые ожидания или субъективные прогнозы участников рынка формируются таким образом, что для их формализации подходят унитарные операторы или операторы приближенные к ним. </w:t>
      </w:r>
      <w:r w:rsidR="001A04DD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проверки мы построили три прогнозных модели с использованием трех операторов, каждый из которых обладает своей спецификой. </w:t>
      </w:r>
      <w:r w:rsidR="004F14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построения мы проверили, чтобы норма каждого оператора равнялась 1.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По степени сложности прогнозирования (имеется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виду построение модели и учета параметров) их можно расположить так: матрица Хаузхолдера, Метод Главных компонент, оператор Нюстрома.</w:t>
      </w:r>
    </w:p>
    <w:p w:rsidR="001A04DD" w:rsidRPr="00456249" w:rsidRDefault="00C35A9C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Мы решили, что если портфели, построенные с помощью данных операторов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помогут нам выиграть у рынка, то это будет означать, что наше предположение подтвердилось.</w:t>
      </w:r>
    </w:p>
    <w:p w:rsidR="00A322DB" w:rsidRPr="00456249" w:rsidRDefault="001A04D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Во всех трех случаях наши модели показали опережение рынка, что говорит нам о том, что наша основная и сама</w:t>
      </w:r>
      <w:r w:rsidR="00A322DB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важная гипотеза подтвердилась. Более того в приложении </w:t>
      </w:r>
      <w:r w:rsidR="00116CDE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A322DB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построена гистограмма по прогнозам валютных курсов, предоставленных 50 крупными банками на период до 2016 года включительно. Как мы видим, субъективные прогнозы агентов действительно сохраняют свою норму во времени и функция плотности вероятности не сводится к равномерному виду.</w:t>
      </w:r>
    </w:p>
    <w:p w:rsidR="00A322DB" w:rsidRPr="00456249" w:rsidRDefault="00A322DB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1A04DD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днако в ходе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данного исследования был сделан еще целый ряд интересных наблюдений: </w:t>
      </w:r>
    </w:p>
    <w:p w:rsidR="001A04DD" w:rsidRPr="00456249" w:rsidRDefault="0094009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первых, рыночный сигнал подвержен шуму, и для извлечения из него нужной информации нам могут потребоваться различный алгоритмы и фильтры, а данной работе это был метод главных компонент</w:t>
      </w:r>
    </w:p>
    <w:p w:rsidR="001A04DD" w:rsidRPr="00456249" w:rsidRDefault="0094009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Во-</w:t>
      </w:r>
      <w:r w:rsidR="001A04DD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вторых, людям свойственно воспринимать рыночный сигнал по разному в зависимости от волатильности рынка.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Так, например, более подвижный рынок воспринимается участниками рынка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более простой для прогнозирования, в то время как более спокойный рынок рассматривается как более сложный для построение прогнозов.</w:t>
      </w:r>
    </w:p>
    <w:p w:rsidR="001A04DD" w:rsidRPr="00456249" w:rsidRDefault="0094009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В-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третьих мы столкнулись с таким явлением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эффект обращения средней.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есть когда в случае превышения прогнозной цены над рыночной мы решаем, что актив переоценен и спешим его продать, в то время как если по нашим субъективным ощущениям цена ниже, рыночной, мы принимаем решение о покупке, потому как это говорит о </w:t>
      </w:r>
      <w:proofErr w:type="spellStart"/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недооцененности</w:t>
      </w:r>
      <w:proofErr w:type="spellEnd"/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актива</w:t>
      </w:r>
    </w:p>
    <w:p w:rsidR="001A04DD" w:rsidRPr="00456249" w:rsidRDefault="0094009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В-</w:t>
      </w:r>
      <w:r w:rsidR="001A04DD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четвертых, инт</w:t>
      </w:r>
      <w:r w:rsidR="00084ADD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1A04DD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ресно отметить, для различных операторов, нам потребовался разный размер скользящего окна, хотя работали мы с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абсолютно</w:t>
      </w:r>
      <w:r w:rsidR="001A04DD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одинаковым</w:t>
      </w:r>
      <w:r w:rsidR="001A04DD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массивом данных (опять же для «чистоты» эксперимента) Так для оператора Хаузхолдера потребовалось окно равное всего </w:t>
      </w:r>
      <w:r w:rsidR="00084ADD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лишь двум значениям. По нашему субъективному мнению это говорит о том, что простой аппарат прогнозирования эффективен при построении прогноза в случае ограниченности  и скудности информации о рынке.</w:t>
      </w:r>
    </w:p>
    <w:p w:rsidR="00910736" w:rsidRPr="00456249" w:rsidRDefault="0094009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В-</w:t>
      </w:r>
      <w:r w:rsidR="00C35A9C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пятых, мы опробовали разные вариант</w:t>
      </w:r>
      <w:r w:rsidR="00C35A9C">
        <w:rPr>
          <w:rFonts w:ascii="Times New Roman" w:hAnsi="Times New Roman" w:cs="Times New Roman"/>
          <w:color w:val="000000" w:themeColor="text1"/>
          <w:sz w:val="28"/>
          <w:szCs w:val="28"/>
        </w:rPr>
        <w:t>ы построения торгового правила. Н</w:t>
      </w:r>
      <w:r w:rsidR="00C35A9C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апример, когда сравниваются средние не один промежуток времени, а за разные, однако перебор как правило ограничивается переменными </w:t>
      </w:r>
      <w:r w:rsidR="00C35A9C" w:rsidRPr="0045624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</w:t>
      </w:r>
      <w:r w:rsidR="00C35A9C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C35A9C" w:rsidRPr="0045624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</w:t>
      </w:r>
      <w:r w:rsidR="00C35A9C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-1, </w:t>
      </w:r>
      <w:r w:rsidR="00C35A9C" w:rsidRPr="0045624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</w:t>
      </w:r>
      <w:r w:rsidR="00C35A9C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-2. </w:t>
      </w:r>
      <w:r w:rsidR="00A322DB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Это еще раз служит под</w:t>
      </w:r>
      <w:r w:rsidR="00696DF5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тверждением, что вся необходимая нам информация о прогнозе содержится в не столь далеком прошлом. </w:t>
      </w:r>
    </w:p>
    <w:p w:rsidR="00696DF5" w:rsidRPr="00456249" w:rsidRDefault="0094009D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В-</w:t>
      </w:r>
      <w:r w:rsidR="00A322DB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шестых</w:t>
      </w:r>
      <w:r w:rsidR="00696DF5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, мы перешли к прогнозированию в непрерывном пространстве, предположив, что у нас есть некая изначальная функция плотности вероятности ценового процесса. Перебрав несколько типов</w:t>
      </w:r>
      <w:r w:rsidR="00A322DB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96DF5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остановились на функции плотности с тремя моментами, полученной из задачи вариационного исчисления. </w:t>
      </w:r>
    </w:p>
    <w:p w:rsidR="00D612FE" w:rsidRDefault="00696DF5" w:rsidP="00160A4B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Поработав с ней и применив к </w:t>
      </w:r>
      <w:r w:rsidR="00C35A9C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ней,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оператор Нюстрома, сохраняющий норму во времени, мы получили фантастический </w:t>
      </w:r>
      <w:r w:rsidR="00C35A9C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, а именно: опережение рынка в 2.422 раза.</w:t>
      </w:r>
      <w:r w:rsidR="00562E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Однако столь невероятный результат потребовал проверки, мы построили </w:t>
      </w:r>
      <w:r w:rsidR="00F4262A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95% </w:t>
      </w:r>
      <w:r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доверительный интервал</w:t>
      </w:r>
      <w:r w:rsidR="00F4262A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A6C16" w:rsidRPr="00456249">
        <w:rPr>
          <w:rFonts w:ascii="Times New Roman" w:hAnsi="Times New Roman" w:cs="Times New Roman"/>
          <w:color w:val="000000" w:themeColor="text1"/>
          <w:sz w:val="28"/>
          <w:szCs w:val="28"/>
        </w:rPr>
        <w:t>для нашего портфеля, и убедились в том, что наше превышение над рынком не является случайной величиной.</w:t>
      </w:r>
      <w:r w:rsidR="004F14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35A9C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образом, у</w:t>
      </w:r>
      <w:r w:rsidR="00C35A9C" w:rsidRPr="004F1478">
        <w:rPr>
          <w:rFonts w:ascii="Times New Roman" w:hAnsi="Times New Roman" w:cs="Times New Roman"/>
          <w:color w:val="000000" w:themeColor="text1"/>
          <w:sz w:val="28"/>
          <w:szCs w:val="28"/>
        </w:rPr>
        <w:t>нитарное преобразование эмпирических векторов значений доходности позволяет выстраивать высокоэффективные прогнозы ценового процесса на валютном рынке.</w:t>
      </w:r>
    </w:p>
    <w:p w:rsidR="00D612FE" w:rsidRDefault="00D612FE" w:rsidP="00D612FE">
      <w:r>
        <w:br w:type="page"/>
      </w:r>
    </w:p>
    <w:p w:rsidR="00696DF5" w:rsidRDefault="00D612FE" w:rsidP="00D612FE">
      <w:pPr>
        <w:pStyle w:val="1"/>
      </w:pPr>
      <w:bookmarkStart w:id="28" w:name="_Toc356831312"/>
      <w:bookmarkStart w:id="29" w:name="_Toc356831767"/>
      <w:r>
        <w:lastRenderedPageBreak/>
        <w:t>Список литературы</w:t>
      </w:r>
      <w:bookmarkEnd w:id="28"/>
      <w:bookmarkEnd w:id="29"/>
    </w:p>
    <w:p w:rsidR="00D612FE" w:rsidRDefault="00D612FE" w:rsidP="00D612FE">
      <w:pPr>
        <w:pStyle w:val="a8"/>
        <w:numPr>
          <w:ilvl w:val="0"/>
          <w:numId w:val="5"/>
        </w:numPr>
        <w:spacing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Васильева А.Б., Тихонов Н.А., Интегральные уравнения. – 2-е изд., стереот. – М.:ФИЗМАТЛИТ, 2002г. – 160с.</w:t>
      </w:r>
    </w:p>
    <w:p w:rsidR="00D612FE" w:rsidRDefault="00D612FE" w:rsidP="00D612FE">
      <w:pPr>
        <w:pStyle w:val="a8"/>
        <w:numPr>
          <w:ilvl w:val="0"/>
          <w:numId w:val="5"/>
        </w:numPr>
        <w:autoSpaceDE w:val="0"/>
        <w:autoSpaceDN w:val="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Евстигнеев В.Р. Прогнозирование доходности на рынке акций, Маросейка, 2008. – 192с.</w:t>
      </w:r>
    </w:p>
    <w:p w:rsidR="004F1478" w:rsidRDefault="004F1478" w:rsidP="004F1478">
      <w:pPr>
        <w:pStyle w:val="a8"/>
        <w:numPr>
          <w:ilvl w:val="0"/>
          <w:numId w:val="5"/>
        </w:numPr>
        <w:autoSpaceDE w:val="0"/>
        <w:autoSpaceDN w:val="0"/>
        <w:spacing w:after="0" w:line="360" w:lineRule="auto"/>
        <w:jc w:val="both"/>
        <w:rPr>
          <w:sz w:val="28"/>
          <w:szCs w:val="28"/>
        </w:rPr>
      </w:pPr>
      <w:r w:rsidRPr="004F1478">
        <w:rPr>
          <w:sz w:val="28"/>
          <w:szCs w:val="28"/>
        </w:rPr>
        <w:t>Корн Г., Корн Т. Справочник по математике для научных работников и инженеров. М.: Наука, 1973</w:t>
      </w:r>
    </w:p>
    <w:p w:rsidR="00D612FE" w:rsidRDefault="00D612FE" w:rsidP="00D612FE">
      <w:pPr>
        <w:pStyle w:val="a8"/>
        <w:numPr>
          <w:ilvl w:val="0"/>
          <w:numId w:val="5"/>
        </w:numPr>
        <w:autoSpaceDE w:val="0"/>
        <w:autoSpaceDN w:val="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Хайкин С. Нейронные сети: полный курс.- 2¬e издание. : Пер. с анrл. ¬ М. Издательский дом "Вильямс", 2006. ¬ 1104 с.</w:t>
      </w:r>
    </w:p>
    <w:p w:rsidR="00D612FE" w:rsidRDefault="00D612FE" w:rsidP="00D612FE">
      <w:pPr>
        <w:spacing w:line="360" w:lineRule="auto"/>
        <w:jc w:val="both"/>
        <w:rPr>
          <w:sz w:val="28"/>
          <w:szCs w:val="28"/>
          <w:lang w:val="en-US"/>
        </w:rPr>
      </w:pPr>
    </w:p>
    <w:p w:rsidR="00D612FE" w:rsidRDefault="00D612FE" w:rsidP="00D612FE">
      <w:pPr>
        <w:widowControl w:val="0"/>
        <w:numPr>
          <w:ilvl w:val="0"/>
          <w:numId w:val="5"/>
        </w:numPr>
        <w:suppressAutoHyphens/>
        <w:autoSpaceDN w:val="0"/>
        <w:spacing w:after="0"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Campbell J.Y., Lo A.W., MacKinlay A.C Financial Econometrics. -  Princeton University Press, 1997. - 597c.</w:t>
      </w:r>
    </w:p>
    <w:p w:rsidR="00D612FE" w:rsidRDefault="00D612FE" w:rsidP="00D612FE">
      <w:pPr>
        <w:widowControl w:val="0"/>
        <w:numPr>
          <w:ilvl w:val="0"/>
          <w:numId w:val="5"/>
        </w:numPr>
        <w:suppressAutoHyphens/>
        <w:autoSpaceDN w:val="0"/>
        <w:spacing w:after="0"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Cochrane J.H. Time Series for Macroeconomics and Finance,- Spring., 1997. - 125c.</w:t>
      </w:r>
    </w:p>
    <w:p w:rsidR="00D612FE" w:rsidRDefault="00D612FE" w:rsidP="00D612FE">
      <w:pPr>
        <w:widowControl w:val="0"/>
        <w:numPr>
          <w:ilvl w:val="0"/>
          <w:numId w:val="5"/>
        </w:numPr>
        <w:suppressAutoHyphens/>
        <w:autoSpaceDN w:val="0"/>
        <w:spacing w:after="0"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Jolliffe I.T. Principal Component Analysis . - 2nd edition., Springer, 2002. - 519c.</w:t>
      </w:r>
    </w:p>
    <w:p w:rsidR="00D612FE" w:rsidRDefault="00D612FE" w:rsidP="00D612FE">
      <w:pPr>
        <w:widowControl w:val="0"/>
        <w:numPr>
          <w:ilvl w:val="0"/>
          <w:numId w:val="5"/>
        </w:numPr>
        <w:suppressAutoHyphens/>
        <w:autoSpaceDN w:val="0"/>
        <w:spacing w:after="0"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Jonathan E., Ingersoll, Jr Theory of financial decision making . - Yale University Rowman &amp; Littlefield publishers., 1987. - 449c.</w:t>
      </w:r>
    </w:p>
    <w:p w:rsidR="00D612FE" w:rsidRDefault="00D612FE" w:rsidP="00D612FE">
      <w:pPr>
        <w:widowControl w:val="0"/>
        <w:numPr>
          <w:ilvl w:val="0"/>
          <w:numId w:val="5"/>
        </w:numPr>
        <w:suppressAutoHyphens/>
        <w:autoSpaceDN w:val="0"/>
        <w:spacing w:after="0"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Voit J. The StatisticalMechanics of Financial Markets. -3rd edition, Springer., 2005. - 385 c.</w:t>
      </w:r>
    </w:p>
    <w:p w:rsidR="00D612FE" w:rsidRDefault="00D612FE" w:rsidP="00D612FE">
      <w:pPr>
        <w:widowControl w:val="0"/>
        <w:suppressAutoHyphens/>
        <w:spacing w:line="360" w:lineRule="auto"/>
        <w:ind w:left="720"/>
        <w:jc w:val="both"/>
        <w:rPr>
          <w:sz w:val="28"/>
          <w:szCs w:val="28"/>
          <w:lang w:val="en-US"/>
        </w:rPr>
      </w:pPr>
    </w:p>
    <w:p w:rsidR="00D612FE" w:rsidRDefault="00D612FE" w:rsidP="00D612FE">
      <w:pPr>
        <w:pStyle w:val="a8"/>
        <w:widowControl w:val="0"/>
        <w:suppressAutoHyphens/>
        <w:spacing w:line="360" w:lineRule="auto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>Периодические источники:</w:t>
      </w:r>
    </w:p>
    <w:p w:rsidR="00D612FE" w:rsidRDefault="00D612FE" w:rsidP="00D612FE">
      <w:pPr>
        <w:pStyle w:val="a8"/>
        <w:numPr>
          <w:ilvl w:val="0"/>
          <w:numId w:val="5"/>
        </w:numPr>
        <w:autoSpaceDE w:val="0"/>
        <w:autoSpaceDN w:val="0"/>
        <w:spacing w:after="120"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 Journal of Financial Research, - Vol. XXXI, No. 3,-  Fall 2008, -247–270 p. </w:t>
      </w:r>
    </w:p>
    <w:p w:rsidR="00D612FE" w:rsidRDefault="00D612FE" w:rsidP="00D612FE">
      <w:pPr>
        <w:pStyle w:val="a8"/>
        <w:numPr>
          <w:ilvl w:val="0"/>
          <w:numId w:val="5"/>
        </w:numPr>
        <w:autoSpaceDE w:val="0"/>
        <w:autoSpaceDN w:val="0"/>
        <w:spacing w:after="120" w:line="360" w:lineRule="auto"/>
        <w:jc w:val="both"/>
        <w:rPr>
          <w:color w:val="000000"/>
          <w:sz w:val="28"/>
          <w:szCs w:val="28"/>
          <w:shd w:val="clear" w:color="auto" w:fill="FFFFFF"/>
          <w:lang w:val="en-US"/>
        </w:rPr>
      </w:pPr>
      <w:r>
        <w:rPr>
          <w:color w:val="000000"/>
          <w:sz w:val="28"/>
          <w:szCs w:val="28"/>
          <w:shd w:val="clear" w:color="auto" w:fill="FFFFFF"/>
          <w:lang w:val="en-US"/>
        </w:rPr>
        <w:t xml:space="preserve">Yellott, J. I. Jr., «Spectral Consequences of Photoreceptor Sampling in the Rhesus Retina.» Science, </w:t>
      </w:r>
      <w:r>
        <w:rPr>
          <w:color w:val="000000"/>
          <w:sz w:val="28"/>
          <w:szCs w:val="28"/>
          <w:shd w:val="clear" w:color="auto" w:fill="FFFFFF"/>
        </w:rPr>
        <w:t>том</w:t>
      </w:r>
      <w:r>
        <w:rPr>
          <w:color w:val="000000"/>
          <w:sz w:val="28"/>
          <w:szCs w:val="28"/>
          <w:shd w:val="clear" w:color="auto" w:fill="FFFFFF"/>
          <w:lang w:val="en-US"/>
        </w:rPr>
        <w:t xml:space="preserve"> 221,</w:t>
      </w:r>
      <w:r>
        <w:rPr>
          <w:color w:val="000000"/>
          <w:sz w:val="28"/>
          <w:szCs w:val="28"/>
          <w:shd w:val="clear" w:color="auto" w:fill="FFFFFF"/>
        </w:rPr>
        <w:t xml:space="preserve">- </w:t>
      </w:r>
      <w:r>
        <w:rPr>
          <w:color w:val="000000"/>
          <w:sz w:val="28"/>
          <w:szCs w:val="28"/>
          <w:shd w:val="clear" w:color="auto" w:fill="FFFFFF"/>
          <w:lang w:val="en-US"/>
        </w:rPr>
        <w:t>, 1983.</w:t>
      </w:r>
      <w:r>
        <w:rPr>
          <w:color w:val="000000"/>
          <w:sz w:val="28"/>
          <w:szCs w:val="28"/>
          <w:shd w:val="clear" w:color="auto" w:fill="FFFFFF"/>
        </w:rPr>
        <w:t xml:space="preserve">- </w:t>
      </w:r>
      <w:r>
        <w:rPr>
          <w:color w:val="000000"/>
          <w:sz w:val="28"/>
          <w:szCs w:val="28"/>
          <w:shd w:val="clear" w:color="auto" w:fill="FFFFFF"/>
          <w:lang w:val="en-US"/>
        </w:rPr>
        <w:t xml:space="preserve"> 382—385 с.</w:t>
      </w:r>
    </w:p>
    <w:p w:rsidR="00D612FE" w:rsidRDefault="00D612FE" w:rsidP="00D612FE">
      <w:pPr>
        <w:pStyle w:val="a8"/>
        <w:spacing w:after="120" w:line="360" w:lineRule="auto"/>
        <w:jc w:val="both"/>
        <w:rPr>
          <w:sz w:val="28"/>
          <w:szCs w:val="28"/>
          <w:lang w:val="en-US"/>
        </w:rPr>
      </w:pPr>
    </w:p>
    <w:p w:rsidR="00D612FE" w:rsidRDefault="00D612FE" w:rsidP="00D612FE">
      <w:pPr>
        <w:widowControl w:val="0"/>
        <w:suppressAutoHyphens/>
        <w:spacing w:line="360" w:lineRule="auto"/>
        <w:ind w:left="720"/>
        <w:jc w:val="both"/>
        <w:rPr>
          <w:sz w:val="28"/>
          <w:szCs w:val="28"/>
        </w:rPr>
      </w:pPr>
    </w:p>
    <w:p w:rsidR="00D612FE" w:rsidRDefault="00D612FE" w:rsidP="00D612FE">
      <w:pPr>
        <w:pStyle w:val="a8"/>
        <w:widowControl w:val="0"/>
        <w:suppressAutoHyphens/>
        <w:spacing w:line="360" w:lineRule="auto"/>
        <w:ind w:left="1440"/>
        <w:jc w:val="both"/>
        <w:rPr>
          <w:sz w:val="28"/>
          <w:szCs w:val="28"/>
        </w:rPr>
      </w:pPr>
    </w:p>
    <w:p w:rsidR="00D612FE" w:rsidRDefault="00D612FE" w:rsidP="00D612FE">
      <w:pPr>
        <w:pStyle w:val="a8"/>
        <w:widowControl w:val="0"/>
        <w:suppressAutoHyphens/>
        <w:spacing w:line="360" w:lineRule="auto"/>
        <w:ind w:left="1440"/>
        <w:jc w:val="both"/>
        <w:rPr>
          <w:sz w:val="28"/>
          <w:szCs w:val="28"/>
        </w:rPr>
      </w:pPr>
    </w:p>
    <w:p w:rsidR="00D612FE" w:rsidRDefault="00D612FE" w:rsidP="00D612FE">
      <w:pPr>
        <w:pStyle w:val="a8"/>
        <w:widowControl w:val="0"/>
        <w:suppressAutoHyphens/>
        <w:spacing w:line="360" w:lineRule="auto"/>
        <w:ind w:left="1440"/>
        <w:jc w:val="both"/>
        <w:rPr>
          <w:sz w:val="28"/>
          <w:szCs w:val="28"/>
        </w:rPr>
      </w:pPr>
    </w:p>
    <w:p w:rsidR="00D612FE" w:rsidRDefault="00D612FE" w:rsidP="00D612FE">
      <w:pPr>
        <w:pStyle w:val="a8"/>
        <w:widowControl w:val="0"/>
        <w:suppressAutoHyphens/>
        <w:spacing w:line="360" w:lineRule="auto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>Интернет источники</w:t>
      </w:r>
    </w:p>
    <w:p w:rsidR="00D612FE" w:rsidRDefault="00D612FE" w:rsidP="00D612FE">
      <w:pPr>
        <w:pStyle w:val="a8"/>
        <w:numPr>
          <w:ilvl w:val="0"/>
          <w:numId w:val="5"/>
        </w:numPr>
        <w:autoSpaceDE w:val="0"/>
        <w:autoSpaceDN w:val="0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Андреевская Т.М., РЭ, МГИЭМ, 2004  курс лекций «Основы радиоэлектроники и связи» </w:t>
      </w:r>
      <w:hyperlink r:id="rId53" w:history="1">
        <w:r>
          <w:rPr>
            <w:rStyle w:val="a3"/>
            <w:sz w:val="28"/>
            <w:szCs w:val="28"/>
          </w:rPr>
          <w:t>http://jstonline.narod.ru/rsw/rsw_d0/rsw_d0b0/rsw_d0b0b.htm</w:t>
        </w:r>
      </w:hyperlink>
    </w:p>
    <w:p w:rsidR="00D612FE" w:rsidRDefault="00D612FE" w:rsidP="00D612FE">
      <w:pPr>
        <w:pStyle w:val="a8"/>
        <w:numPr>
          <w:ilvl w:val="0"/>
          <w:numId w:val="5"/>
        </w:numPr>
        <w:autoSpaceDE w:val="0"/>
        <w:autoSpaceDN w:val="0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Померанцев А. Метод Главных Компонент (PCA) Российское </w:t>
      </w:r>
      <w:proofErr w:type="spellStart"/>
      <w:r>
        <w:rPr>
          <w:sz w:val="28"/>
          <w:szCs w:val="28"/>
        </w:rPr>
        <w:t>хемометрическое</w:t>
      </w:r>
      <w:proofErr w:type="spellEnd"/>
      <w:r>
        <w:rPr>
          <w:sz w:val="28"/>
          <w:szCs w:val="28"/>
        </w:rPr>
        <w:t xml:space="preserve"> общество </w:t>
      </w:r>
      <w:hyperlink r:id="rId54" w:history="1">
        <w:r>
          <w:rPr>
            <w:rStyle w:val="a3"/>
            <w:sz w:val="28"/>
            <w:szCs w:val="28"/>
          </w:rPr>
          <w:t>http://www.chemometrics.ru/materials/textbooks/pca.htm</w:t>
        </w:r>
      </w:hyperlink>
    </w:p>
    <w:p w:rsidR="00562ED5" w:rsidRDefault="00562ED5" w:rsidP="00D612FE">
      <w:pPr>
        <w:rPr>
          <w:lang w:eastAsia="ru-RU"/>
        </w:rPr>
      </w:pPr>
    </w:p>
    <w:p w:rsidR="00562ED5" w:rsidRDefault="00562ED5" w:rsidP="00562ED5">
      <w:pPr>
        <w:rPr>
          <w:lang w:eastAsia="ru-RU"/>
        </w:rPr>
      </w:pPr>
      <w:r>
        <w:rPr>
          <w:lang w:eastAsia="ru-RU"/>
        </w:rPr>
        <w:br w:type="page"/>
      </w:r>
    </w:p>
    <w:p w:rsidR="00D612FE" w:rsidRDefault="00562ED5" w:rsidP="00562ED5">
      <w:pPr>
        <w:pStyle w:val="1"/>
      </w:pPr>
      <w:bookmarkStart w:id="30" w:name="_Toc356831313"/>
      <w:bookmarkStart w:id="31" w:name="_Toc356831768"/>
      <w:r>
        <w:lastRenderedPageBreak/>
        <w:t>Приложения</w:t>
      </w:r>
      <w:bookmarkEnd w:id="30"/>
      <w:bookmarkEnd w:id="31"/>
    </w:p>
    <w:p w:rsidR="00562ED5" w:rsidRDefault="00562ED5" w:rsidP="00562ED5">
      <w:pPr>
        <w:rPr>
          <w:lang w:eastAsia="ru-RU"/>
        </w:rPr>
      </w:pPr>
    </w:p>
    <w:p w:rsidR="00562ED5" w:rsidRDefault="00562ED5" w:rsidP="00562ED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Приложение 1</w:t>
      </w:r>
    </w:p>
    <w:p w:rsidR="00562ED5" w:rsidRDefault="00562ED5" w:rsidP="00562ED5">
      <w:pPr>
        <w:rPr>
          <w:rFonts w:ascii="Times New Roman" w:hAnsi="Times New Roman" w:cs="Times New Roman"/>
          <w:sz w:val="28"/>
          <w:szCs w:val="28"/>
          <w:lang w:eastAsia="ru-RU"/>
        </w:rPr>
        <w:sectPr w:rsidR="00562ED5" w:rsidSect="00C35A9C">
          <w:headerReference w:type="default" r:id="rId55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17E1A499" wp14:editId="76CA8816">
            <wp:extent cx="5581015" cy="2182495"/>
            <wp:effectExtent l="0" t="0" r="0" b="8255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ED5" w:rsidRDefault="00562ED5" w:rsidP="00562ED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:rsidR="00562ED5" w:rsidRDefault="00562ED5" w:rsidP="00C35A9C">
      <w:pPr>
        <w:rPr>
          <w:rFonts w:ascii="Times New Roman" w:hAnsi="Times New Roman" w:cs="Times New Roman"/>
          <w:color w:val="000000" w:themeColor="text1"/>
          <w:sz w:val="28"/>
          <w:szCs w:val="28"/>
        </w:rPr>
        <w:sectPr w:rsidR="00562ED5">
          <w:pgSz w:w="16838" w:h="11906" w:orient="landscape"/>
          <w:pgMar w:top="850" w:right="1134" w:bottom="1701" w:left="1134" w:header="708" w:footer="708" w:gutter="0"/>
          <w:cols w:space="720"/>
        </w:sect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B4A6FA0" wp14:editId="61A91B93">
            <wp:extent cx="9049385" cy="4873625"/>
            <wp:effectExtent l="0" t="0" r="18415" b="22225"/>
            <wp:docPr id="87" name="Диаграмма 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562ED5" w:rsidRPr="00562ED5" w:rsidRDefault="00562ED5" w:rsidP="00116CD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562ED5" w:rsidRPr="00562ED5" w:rsidSect="00D612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75B0" w:rsidRDefault="000C75B0" w:rsidP="007B3AEB">
      <w:pPr>
        <w:spacing w:after="0" w:line="240" w:lineRule="auto"/>
      </w:pPr>
      <w:r>
        <w:separator/>
      </w:r>
    </w:p>
  </w:endnote>
  <w:endnote w:type="continuationSeparator" w:id="0">
    <w:p w:rsidR="000C75B0" w:rsidRDefault="000C75B0" w:rsidP="007B3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75B0" w:rsidRDefault="000C75B0" w:rsidP="007B3AEB">
      <w:pPr>
        <w:spacing w:after="0" w:line="240" w:lineRule="auto"/>
      </w:pPr>
      <w:r>
        <w:separator/>
      </w:r>
    </w:p>
  </w:footnote>
  <w:footnote w:type="continuationSeparator" w:id="0">
    <w:p w:rsidR="000C75B0" w:rsidRDefault="000C75B0" w:rsidP="007B3AEB">
      <w:pPr>
        <w:spacing w:after="0" w:line="240" w:lineRule="auto"/>
      </w:pPr>
      <w:r>
        <w:continuationSeparator/>
      </w:r>
    </w:p>
  </w:footnote>
  <w:footnote w:id="1">
    <w:p w:rsidR="00562ED5" w:rsidRPr="007B3AEB" w:rsidRDefault="00562ED5">
      <w:pPr>
        <w:pStyle w:val="aa"/>
      </w:pPr>
      <w:r>
        <w:rPr>
          <w:rStyle w:val="ac"/>
        </w:rPr>
        <w:footnoteRef/>
      </w:r>
      <w:r>
        <w:t xml:space="preserve"> Численные методы линейной алгебры</w:t>
      </w:r>
    </w:p>
  </w:footnote>
  <w:footnote w:id="2">
    <w:p w:rsidR="00562ED5" w:rsidRDefault="00562ED5" w:rsidP="001A04DD">
      <w:pPr>
        <w:pStyle w:val="aa"/>
      </w:pPr>
      <w:r>
        <w:rPr>
          <w:rStyle w:val="ac"/>
        </w:rPr>
        <w:footnoteRef/>
      </w:r>
      <w:r>
        <w:t xml:space="preserve"> Ход разложения по главным компонентам был изложен в соответствии с работами </w:t>
      </w:r>
      <w:r>
        <w:rPr>
          <w:lang w:val="en-US"/>
        </w:rPr>
        <w:t>S</w:t>
      </w:r>
      <w:r>
        <w:t xml:space="preserve">. </w:t>
      </w:r>
      <w:proofErr w:type="spellStart"/>
      <w:r>
        <w:rPr>
          <w:lang w:val="en-US"/>
        </w:rPr>
        <w:t>Haykin</w:t>
      </w:r>
      <w:proofErr w:type="spellEnd"/>
      <w:r w:rsidRPr="001A04DD">
        <w:t xml:space="preserve"> </w:t>
      </w:r>
      <w:r>
        <w:t xml:space="preserve">,  </w:t>
      </w:r>
      <w:r>
        <w:rPr>
          <w:lang w:val="en-US"/>
        </w:rPr>
        <w:t>I</w:t>
      </w:r>
      <w:r>
        <w:t>.</w:t>
      </w:r>
      <w:r>
        <w:rPr>
          <w:lang w:val="en-US"/>
        </w:rPr>
        <w:t>T</w:t>
      </w:r>
      <w:r>
        <w:t xml:space="preserve">. </w:t>
      </w:r>
      <w:proofErr w:type="spellStart"/>
      <w:r>
        <w:t>Jolliffe</w:t>
      </w:r>
      <w:proofErr w:type="spellEnd"/>
      <w:r>
        <w:t xml:space="preserve"> </w:t>
      </w:r>
    </w:p>
    <w:p w:rsidR="00562ED5" w:rsidRDefault="00562ED5" w:rsidP="001A04DD">
      <w:pPr>
        <w:pStyle w:val="aa"/>
      </w:pPr>
      <w:r>
        <w:t xml:space="preserve">(Источники в списке литературы) </w:t>
      </w:r>
    </w:p>
    <w:p w:rsidR="00562ED5" w:rsidRDefault="00562ED5">
      <w:pPr>
        <w:pStyle w:val="aa"/>
      </w:pPr>
    </w:p>
  </w:footnote>
  <w:footnote w:id="3">
    <w:p w:rsidR="00562ED5" w:rsidRDefault="00562ED5" w:rsidP="001A04DD">
      <w:pPr>
        <w:pStyle w:val="aa"/>
      </w:pPr>
      <w:r>
        <w:rPr>
          <w:rStyle w:val="ac"/>
        </w:rPr>
        <w:footnoteRef/>
      </w:r>
      <w:r>
        <w:t xml:space="preserve">  Схема взята из С. </w:t>
      </w:r>
      <w:proofErr w:type="spellStart"/>
      <w:r>
        <w:t>Хайкена</w:t>
      </w:r>
      <w:proofErr w:type="spellEnd"/>
      <w:r>
        <w:t>. Нейронные сети. Второе издание. С 522.</w:t>
      </w:r>
    </w:p>
  </w:footnote>
  <w:footnote w:id="4">
    <w:p w:rsidR="00C35A9C" w:rsidRDefault="00C35A9C" w:rsidP="001A04DD">
      <w:pPr>
        <w:pStyle w:val="aa"/>
      </w:pPr>
      <w:r>
        <w:rPr>
          <w:rStyle w:val="ac"/>
        </w:rPr>
        <w:footnoteRef/>
      </w:r>
      <w:r>
        <w:t xml:space="preserve"> Математическая энциклопедия. — М.: Советская энциклопедия. И. М. Виноградов. 1977—1985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90373684"/>
      <w:docPartObj>
        <w:docPartGallery w:val="Page Numbers (Top of Page)"/>
        <w:docPartUnique/>
      </w:docPartObj>
    </w:sdtPr>
    <w:sdtContent>
      <w:p w:rsidR="00C35A9C" w:rsidRDefault="00C35A9C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6CDE">
          <w:rPr>
            <w:noProof/>
          </w:rPr>
          <w:t>3</w:t>
        </w:r>
        <w:r>
          <w:fldChar w:fldCharType="end"/>
        </w:r>
      </w:p>
    </w:sdtContent>
  </w:sdt>
  <w:p w:rsidR="00C35A9C" w:rsidRDefault="00C35A9C">
    <w:pPr>
      <w:pStyle w:val="a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52F60"/>
    <w:multiLevelType w:val="hybridMultilevel"/>
    <w:tmpl w:val="3EEAEEC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A2827"/>
    <w:multiLevelType w:val="hybridMultilevel"/>
    <w:tmpl w:val="3EEAEEC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270B3A"/>
    <w:multiLevelType w:val="multilevel"/>
    <w:tmpl w:val="A56A7C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23676253"/>
    <w:multiLevelType w:val="multilevel"/>
    <w:tmpl w:val="97A293B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31511D6E"/>
    <w:multiLevelType w:val="multilevel"/>
    <w:tmpl w:val="9D9299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/>
        <w:u w:val="single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5">
    <w:nsid w:val="4EFF4373"/>
    <w:multiLevelType w:val="multilevel"/>
    <w:tmpl w:val="B4E42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6603E80"/>
    <w:multiLevelType w:val="hybridMultilevel"/>
    <w:tmpl w:val="081C5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141A3F"/>
    <w:multiLevelType w:val="hybridMultilevel"/>
    <w:tmpl w:val="1398222A"/>
    <w:lvl w:ilvl="0" w:tplc="CE7AA91A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B46"/>
    <w:rsid w:val="00057F74"/>
    <w:rsid w:val="00080103"/>
    <w:rsid w:val="0008362E"/>
    <w:rsid w:val="00084ADD"/>
    <w:rsid w:val="000A6F50"/>
    <w:rsid w:val="000C5A21"/>
    <w:rsid w:val="000C75B0"/>
    <w:rsid w:val="00116CDE"/>
    <w:rsid w:val="001417FF"/>
    <w:rsid w:val="00160A4B"/>
    <w:rsid w:val="001919BB"/>
    <w:rsid w:val="001A04DD"/>
    <w:rsid w:val="001B7751"/>
    <w:rsid w:val="001C4908"/>
    <w:rsid w:val="001C6867"/>
    <w:rsid w:val="0020796E"/>
    <w:rsid w:val="0023651C"/>
    <w:rsid w:val="002370AE"/>
    <w:rsid w:val="00312AD6"/>
    <w:rsid w:val="003345F9"/>
    <w:rsid w:val="003707BE"/>
    <w:rsid w:val="003A6C16"/>
    <w:rsid w:val="003C6095"/>
    <w:rsid w:val="003D760A"/>
    <w:rsid w:val="003F15EE"/>
    <w:rsid w:val="00401619"/>
    <w:rsid w:val="00417EFC"/>
    <w:rsid w:val="00456249"/>
    <w:rsid w:val="004568CC"/>
    <w:rsid w:val="00486EE0"/>
    <w:rsid w:val="004C0CA1"/>
    <w:rsid w:val="004C7547"/>
    <w:rsid w:val="004F1478"/>
    <w:rsid w:val="00512E72"/>
    <w:rsid w:val="00536113"/>
    <w:rsid w:val="00546353"/>
    <w:rsid w:val="00562ED5"/>
    <w:rsid w:val="00583078"/>
    <w:rsid w:val="005D32AF"/>
    <w:rsid w:val="005D5295"/>
    <w:rsid w:val="006007AF"/>
    <w:rsid w:val="0066420C"/>
    <w:rsid w:val="00665C3C"/>
    <w:rsid w:val="006729FC"/>
    <w:rsid w:val="00684FA2"/>
    <w:rsid w:val="00696DF5"/>
    <w:rsid w:val="006A5D38"/>
    <w:rsid w:val="006C1220"/>
    <w:rsid w:val="00727AB9"/>
    <w:rsid w:val="0073448C"/>
    <w:rsid w:val="007406EB"/>
    <w:rsid w:val="007B3AEB"/>
    <w:rsid w:val="008121D0"/>
    <w:rsid w:val="00814363"/>
    <w:rsid w:val="0086360D"/>
    <w:rsid w:val="008C3544"/>
    <w:rsid w:val="008D36CA"/>
    <w:rsid w:val="008F1123"/>
    <w:rsid w:val="00910736"/>
    <w:rsid w:val="00917F71"/>
    <w:rsid w:val="0094009D"/>
    <w:rsid w:val="00981D9A"/>
    <w:rsid w:val="00987914"/>
    <w:rsid w:val="00992B46"/>
    <w:rsid w:val="009F6B11"/>
    <w:rsid w:val="00A15F01"/>
    <w:rsid w:val="00A322DB"/>
    <w:rsid w:val="00A97B04"/>
    <w:rsid w:val="00AF32E0"/>
    <w:rsid w:val="00B0172D"/>
    <w:rsid w:val="00B077C7"/>
    <w:rsid w:val="00B50BBA"/>
    <w:rsid w:val="00B85544"/>
    <w:rsid w:val="00BC29C1"/>
    <w:rsid w:val="00BC611E"/>
    <w:rsid w:val="00BE40BA"/>
    <w:rsid w:val="00BF0F01"/>
    <w:rsid w:val="00C31224"/>
    <w:rsid w:val="00C35A9C"/>
    <w:rsid w:val="00C62C0F"/>
    <w:rsid w:val="00CC26E7"/>
    <w:rsid w:val="00D612FE"/>
    <w:rsid w:val="00D77DE2"/>
    <w:rsid w:val="00DB7CF0"/>
    <w:rsid w:val="00DF3C00"/>
    <w:rsid w:val="00E470A5"/>
    <w:rsid w:val="00F0148E"/>
    <w:rsid w:val="00F32DD6"/>
    <w:rsid w:val="00F4262A"/>
    <w:rsid w:val="00F4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10736"/>
    <w:pPr>
      <w:keepNext/>
      <w:keepLines/>
      <w:autoSpaceDE w:val="0"/>
      <w:autoSpaceDN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62C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5624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7CF0"/>
    <w:rPr>
      <w:color w:val="0000FF"/>
      <w:u w:val="single"/>
    </w:rPr>
  </w:style>
  <w:style w:type="character" w:styleId="a4">
    <w:name w:val="Placeholder Text"/>
    <w:basedOn w:val="a0"/>
    <w:uiPriority w:val="99"/>
    <w:semiHidden/>
    <w:rsid w:val="004C0CA1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4C0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0CA1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9F6B11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8121D0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812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121D0"/>
  </w:style>
  <w:style w:type="paragraph" w:customStyle="1" w:styleId="style1">
    <w:name w:val="style1"/>
    <w:basedOn w:val="a"/>
    <w:rsid w:val="00812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2">
    <w:name w:val="style2"/>
    <w:basedOn w:val="a0"/>
    <w:rsid w:val="008121D0"/>
  </w:style>
  <w:style w:type="paragraph" w:customStyle="1" w:styleId="style3">
    <w:name w:val="style3"/>
    <w:basedOn w:val="a"/>
    <w:rsid w:val="00812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note text"/>
    <w:basedOn w:val="a"/>
    <w:link w:val="ab"/>
    <w:uiPriority w:val="99"/>
    <w:semiHidden/>
    <w:unhideWhenUsed/>
    <w:rsid w:val="007B3AEB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7B3AEB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7B3AEB"/>
    <w:rPr>
      <w:vertAlign w:val="superscript"/>
    </w:rPr>
  </w:style>
  <w:style w:type="table" w:styleId="ad">
    <w:name w:val="Table Grid"/>
    <w:basedOn w:val="a1"/>
    <w:uiPriority w:val="59"/>
    <w:rsid w:val="001A04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Îáû÷íûé"/>
    <w:rsid w:val="0086360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9107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">
    <w:name w:val="Title"/>
    <w:basedOn w:val="a"/>
    <w:next w:val="a"/>
    <w:link w:val="af0"/>
    <w:uiPriority w:val="10"/>
    <w:qFormat/>
    <w:rsid w:val="00C62C0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uiPriority w:val="10"/>
    <w:rsid w:val="00C62C0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C62C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5624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1">
    <w:name w:val="TOC Heading"/>
    <w:basedOn w:val="1"/>
    <w:next w:val="a"/>
    <w:uiPriority w:val="39"/>
    <w:semiHidden/>
    <w:unhideWhenUsed/>
    <w:qFormat/>
    <w:rsid w:val="00562ED5"/>
    <w:pPr>
      <w:autoSpaceDE/>
      <w:autoSpaceDN/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562ED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62ED5"/>
    <w:pPr>
      <w:spacing w:after="100"/>
      <w:ind w:left="220"/>
    </w:pPr>
  </w:style>
  <w:style w:type="paragraph" w:styleId="af2">
    <w:name w:val="No Spacing"/>
    <w:uiPriority w:val="1"/>
    <w:qFormat/>
    <w:rsid w:val="001919BB"/>
    <w:pPr>
      <w:spacing w:after="0" w:line="240" w:lineRule="auto"/>
    </w:pPr>
  </w:style>
  <w:style w:type="paragraph" w:styleId="af3">
    <w:name w:val="header"/>
    <w:basedOn w:val="a"/>
    <w:link w:val="af4"/>
    <w:uiPriority w:val="99"/>
    <w:unhideWhenUsed/>
    <w:rsid w:val="00C35A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C35A9C"/>
  </w:style>
  <w:style w:type="paragraph" w:styleId="af5">
    <w:name w:val="footer"/>
    <w:basedOn w:val="a"/>
    <w:link w:val="af6"/>
    <w:uiPriority w:val="99"/>
    <w:unhideWhenUsed/>
    <w:rsid w:val="00C35A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C35A9C"/>
  </w:style>
  <w:style w:type="paragraph" w:styleId="af7">
    <w:name w:val="caption"/>
    <w:basedOn w:val="a"/>
    <w:next w:val="a"/>
    <w:uiPriority w:val="35"/>
    <w:unhideWhenUsed/>
    <w:qFormat/>
    <w:rsid w:val="004568C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10736"/>
    <w:pPr>
      <w:keepNext/>
      <w:keepLines/>
      <w:autoSpaceDE w:val="0"/>
      <w:autoSpaceDN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62C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5624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7CF0"/>
    <w:rPr>
      <w:color w:val="0000FF"/>
      <w:u w:val="single"/>
    </w:rPr>
  </w:style>
  <w:style w:type="character" w:styleId="a4">
    <w:name w:val="Placeholder Text"/>
    <w:basedOn w:val="a0"/>
    <w:uiPriority w:val="99"/>
    <w:semiHidden/>
    <w:rsid w:val="004C0CA1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4C0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0CA1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9F6B11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8121D0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812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121D0"/>
  </w:style>
  <w:style w:type="paragraph" w:customStyle="1" w:styleId="style1">
    <w:name w:val="style1"/>
    <w:basedOn w:val="a"/>
    <w:rsid w:val="00812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2">
    <w:name w:val="style2"/>
    <w:basedOn w:val="a0"/>
    <w:rsid w:val="008121D0"/>
  </w:style>
  <w:style w:type="paragraph" w:customStyle="1" w:styleId="style3">
    <w:name w:val="style3"/>
    <w:basedOn w:val="a"/>
    <w:rsid w:val="00812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note text"/>
    <w:basedOn w:val="a"/>
    <w:link w:val="ab"/>
    <w:uiPriority w:val="99"/>
    <w:semiHidden/>
    <w:unhideWhenUsed/>
    <w:rsid w:val="007B3AEB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7B3AEB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7B3AEB"/>
    <w:rPr>
      <w:vertAlign w:val="superscript"/>
    </w:rPr>
  </w:style>
  <w:style w:type="table" w:styleId="ad">
    <w:name w:val="Table Grid"/>
    <w:basedOn w:val="a1"/>
    <w:uiPriority w:val="59"/>
    <w:rsid w:val="001A04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Îáû÷íûé"/>
    <w:rsid w:val="0086360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9107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">
    <w:name w:val="Title"/>
    <w:basedOn w:val="a"/>
    <w:next w:val="a"/>
    <w:link w:val="af0"/>
    <w:uiPriority w:val="10"/>
    <w:qFormat/>
    <w:rsid w:val="00C62C0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uiPriority w:val="10"/>
    <w:rsid w:val="00C62C0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C62C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5624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1">
    <w:name w:val="TOC Heading"/>
    <w:basedOn w:val="1"/>
    <w:next w:val="a"/>
    <w:uiPriority w:val="39"/>
    <w:semiHidden/>
    <w:unhideWhenUsed/>
    <w:qFormat/>
    <w:rsid w:val="00562ED5"/>
    <w:pPr>
      <w:autoSpaceDE/>
      <w:autoSpaceDN/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562ED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62ED5"/>
    <w:pPr>
      <w:spacing w:after="100"/>
      <w:ind w:left="220"/>
    </w:pPr>
  </w:style>
  <w:style w:type="paragraph" w:styleId="af2">
    <w:name w:val="No Spacing"/>
    <w:uiPriority w:val="1"/>
    <w:qFormat/>
    <w:rsid w:val="001919BB"/>
    <w:pPr>
      <w:spacing w:after="0" w:line="240" w:lineRule="auto"/>
    </w:pPr>
  </w:style>
  <w:style w:type="paragraph" w:styleId="af3">
    <w:name w:val="header"/>
    <w:basedOn w:val="a"/>
    <w:link w:val="af4"/>
    <w:uiPriority w:val="99"/>
    <w:unhideWhenUsed/>
    <w:rsid w:val="00C35A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C35A9C"/>
  </w:style>
  <w:style w:type="paragraph" w:styleId="af5">
    <w:name w:val="footer"/>
    <w:basedOn w:val="a"/>
    <w:link w:val="af6"/>
    <w:uiPriority w:val="99"/>
    <w:unhideWhenUsed/>
    <w:rsid w:val="00C35A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C35A9C"/>
  </w:style>
  <w:style w:type="paragraph" w:styleId="af7">
    <w:name w:val="caption"/>
    <w:basedOn w:val="a"/>
    <w:next w:val="a"/>
    <w:uiPriority w:val="35"/>
    <w:unhideWhenUsed/>
    <w:qFormat/>
    <w:rsid w:val="004568C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5936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5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825343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3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26" Type="http://schemas.openxmlformats.org/officeDocument/2006/relationships/oleObject" Target="embeddings/oleObject4.bin"/><Relationship Id="rId39" Type="http://schemas.openxmlformats.org/officeDocument/2006/relationships/image" Target="media/image25.wmf"/><Relationship Id="rId21" Type="http://schemas.openxmlformats.org/officeDocument/2006/relationships/image" Target="media/image12.wmf"/><Relationship Id="rId34" Type="http://schemas.openxmlformats.org/officeDocument/2006/relationships/image" Target="media/image20.wmf"/><Relationship Id="rId42" Type="http://schemas.openxmlformats.org/officeDocument/2006/relationships/image" Target="media/image27.wmf"/><Relationship Id="rId47" Type="http://schemas.openxmlformats.org/officeDocument/2006/relationships/image" Target="media/image31.png"/><Relationship Id="rId50" Type="http://schemas.openxmlformats.org/officeDocument/2006/relationships/image" Target="media/image34.wmf"/><Relationship Id="rId55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image" Target="media/image14.wmf"/><Relationship Id="rId33" Type="http://schemas.openxmlformats.org/officeDocument/2006/relationships/image" Target="media/image19.wmf"/><Relationship Id="rId38" Type="http://schemas.openxmlformats.org/officeDocument/2006/relationships/image" Target="media/image24.wmf"/><Relationship Id="rId46" Type="http://schemas.openxmlformats.org/officeDocument/2006/relationships/image" Target="media/image30.png"/><Relationship Id="rId59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oleObject" Target="embeddings/oleObject1.bin"/><Relationship Id="rId29" Type="http://schemas.openxmlformats.org/officeDocument/2006/relationships/oleObject" Target="embeddings/oleObject6.bin"/><Relationship Id="rId41" Type="http://schemas.openxmlformats.org/officeDocument/2006/relationships/oleObject" Target="embeddings/oleObject7.bin"/><Relationship Id="rId54" Type="http://schemas.openxmlformats.org/officeDocument/2006/relationships/hyperlink" Target="http://www.chemometrics.ru/materials/textbooks/pca.ht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oleObject" Target="embeddings/oleObject3.bin"/><Relationship Id="rId32" Type="http://schemas.openxmlformats.org/officeDocument/2006/relationships/image" Target="media/image18.wmf"/><Relationship Id="rId37" Type="http://schemas.openxmlformats.org/officeDocument/2006/relationships/image" Target="media/image23.wmf"/><Relationship Id="rId40" Type="http://schemas.openxmlformats.org/officeDocument/2006/relationships/image" Target="media/image26.wmf"/><Relationship Id="rId45" Type="http://schemas.openxmlformats.org/officeDocument/2006/relationships/image" Target="media/image29.wmf"/><Relationship Id="rId53" Type="http://schemas.openxmlformats.org/officeDocument/2006/relationships/hyperlink" Target="http://jstonline.narod.ru/rsw/rsw_d0/rsw_d0b0/rsw_d0b0b.htm" TargetMode="External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image" Target="media/image13.wmf"/><Relationship Id="rId28" Type="http://schemas.openxmlformats.org/officeDocument/2006/relationships/image" Target="media/image15.wmf"/><Relationship Id="rId36" Type="http://schemas.openxmlformats.org/officeDocument/2006/relationships/image" Target="media/image22.wmf"/><Relationship Id="rId49" Type="http://schemas.openxmlformats.org/officeDocument/2006/relationships/image" Target="media/image33.wmf"/><Relationship Id="rId57" Type="http://schemas.openxmlformats.org/officeDocument/2006/relationships/chart" Target="charts/chart1.xml"/><Relationship Id="rId10" Type="http://schemas.openxmlformats.org/officeDocument/2006/relationships/image" Target="media/image2.wmf"/><Relationship Id="rId19" Type="http://schemas.openxmlformats.org/officeDocument/2006/relationships/image" Target="media/image11.wmf"/><Relationship Id="rId31" Type="http://schemas.openxmlformats.org/officeDocument/2006/relationships/image" Target="media/image17.wmf"/><Relationship Id="rId44" Type="http://schemas.openxmlformats.org/officeDocument/2006/relationships/image" Target="media/image28.wmf"/><Relationship Id="rId52" Type="http://schemas.openxmlformats.org/officeDocument/2006/relationships/oleObject" Target="embeddings/oleObject9.bin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wmf"/><Relationship Id="rId22" Type="http://schemas.openxmlformats.org/officeDocument/2006/relationships/oleObject" Target="embeddings/oleObject2.bin"/><Relationship Id="rId27" Type="http://schemas.openxmlformats.org/officeDocument/2006/relationships/oleObject" Target="embeddings/oleObject5.bin"/><Relationship Id="rId30" Type="http://schemas.openxmlformats.org/officeDocument/2006/relationships/image" Target="media/image16.wmf"/><Relationship Id="rId35" Type="http://schemas.openxmlformats.org/officeDocument/2006/relationships/image" Target="media/image21.wmf"/><Relationship Id="rId43" Type="http://schemas.openxmlformats.org/officeDocument/2006/relationships/oleObject" Target="embeddings/oleObject8.bin"/><Relationship Id="rId48" Type="http://schemas.openxmlformats.org/officeDocument/2006/relationships/image" Target="media/image32.png"/><Relationship Id="rId56" Type="http://schemas.openxmlformats.org/officeDocument/2006/relationships/image" Target="media/image36.wmf"/><Relationship Id="rId8" Type="http://schemas.openxmlformats.org/officeDocument/2006/relationships/endnotes" Target="endnotes.xml"/><Relationship Id="rId51" Type="http://schemas.openxmlformats.org/officeDocument/2006/relationships/image" Target="media/image35.wmf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5;&#1083;&#1077;&#1085;&#1072;\Desktop\Bloomberg%20EURUSD.xml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2.7806484153893574E-2"/>
          <c:y val="1.7460714406407354E-2"/>
          <c:w val="0.95321368191965328"/>
          <c:h val="0.380630146553569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'[Bloomberg EURUSD.xml]Лист3'!$B$1:$B$2</c:f>
              <c:strCache>
                <c:ptCount val="1"/>
                <c:pt idx="0">
                  <c:v>Alpha Bank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EURUSD.xml]Лист3'!$B$3:$B$9</c:f>
              <c:numCache>
                <c:formatCode>General</c:formatCode>
                <c:ptCount val="7"/>
                <c:pt idx="0">
                  <c:v>1.26</c:v>
                </c:pt>
                <c:pt idx="1">
                  <c:v>1.24</c:v>
                </c:pt>
                <c:pt idx="2">
                  <c:v>1.26</c:v>
                </c:pt>
                <c:pt idx="3">
                  <c:v>1.27</c:v>
                </c:pt>
              </c:numCache>
            </c:numRef>
          </c:val>
        </c:ser>
        <c:ser>
          <c:idx val="1"/>
          <c:order val="1"/>
          <c:tx>
            <c:strRef>
              <c:f>'[Bloomberg EURUSD.xml]Лист3'!$C$1:$C$2</c:f>
              <c:strCache>
                <c:ptCount val="1"/>
                <c:pt idx="0">
                  <c:v>Aletti Gestielle SGR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EURUSD.xml]Лист3'!$C$3:$C$9</c:f>
              <c:numCache>
                <c:formatCode>General</c:formatCode>
                <c:ptCount val="7"/>
                <c:pt idx="0">
                  <c:v>1.35</c:v>
                </c:pt>
                <c:pt idx="1">
                  <c:v>1.35</c:v>
                </c:pt>
                <c:pt idx="2">
                  <c:v>1.35</c:v>
                </c:pt>
              </c:numCache>
            </c:numRef>
          </c:val>
        </c:ser>
        <c:ser>
          <c:idx val="2"/>
          <c:order val="2"/>
          <c:tx>
            <c:strRef>
              <c:f>'[Bloomberg EURUSD.xml]Лист3'!$D$1:$D$2</c:f>
              <c:strCache>
                <c:ptCount val="1"/>
                <c:pt idx="0">
                  <c:v>Alior Bank SA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EURUSD.xml]Лист3'!$D$3:$D$9</c:f>
              <c:numCache>
                <c:formatCode>General</c:formatCode>
                <c:ptCount val="7"/>
                <c:pt idx="0">
                  <c:v>1.33</c:v>
                </c:pt>
                <c:pt idx="1">
                  <c:v>1.35</c:v>
                </c:pt>
                <c:pt idx="2">
                  <c:v>1.33</c:v>
                </c:pt>
                <c:pt idx="3">
                  <c:v>1.3</c:v>
                </c:pt>
              </c:numCache>
            </c:numRef>
          </c:val>
        </c:ser>
        <c:ser>
          <c:idx val="3"/>
          <c:order val="3"/>
          <c:tx>
            <c:strRef>
              <c:f>'[Bloomberg EURUSD.xml]Лист3'!$E$1:$E$2</c:f>
              <c:strCache>
                <c:ptCount val="1"/>
                <c:pt idx="0">
                  <c:v>Australia &amp; New Zealand Banking Group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EURUSD.xml]Лист3'!$E$3:$E$9</c:f>
              <c:numCache>
                <c:formatCode>General</c:formatCode>
                <c:ptCount val="7"/>
                <c:pt idx="0">
                  <c:v>1.32</c:v>
                </c:pt>
                <c:pt idx="1">
                  <c:v>1.34</c:v>
                </c:pt>
                <c:pt idx="2">
                  <c:v>1.37</c:v>
                </c:pt>
                <c:pt idx="3">
                  <c:v>1.4</c:v>
                </c:pt>
                <c:pt idx="4">
                  <c:v>1.53</c:v>
                </c:pt>
                <c:pt idx="5">
                  <c:v>1.53</c:v>
                </c:pt>
              </c:numCache>
            </c:numRef>
          </c:val>
        </c:ser>
        <c:ser>
          <c:idx val="4"/>
          <c:order val="4"/>
          <c:tx>
            <c:strRef>
              <c:f>'[Bloomberg EURUSD.xml]Лист3'!$F$1:$F$2</c:f>
              <c:strCache>
                <c:ptCount val="1"/>
                <c:pt idx="0">
                  <c:v>Argentex LLP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EURUSD.xml]Лист3'!$F$3:$F$9</c:f>
              <c:numCache>
                <c:formatCode>General</c:formatCode>
                <c:ptCount val="7"/>
                <c:pt idx="0">
                  <c:v>1.29</c:v>
                </c:pt>
                <c:pt idx="1">
                  <c:v>1.3</c:v>
                </c:pt>
                <c:pt idx="2">
                  <c:v>1.3</c:v>
                </c:pt>
                <c:pt idx="3">
                  <c:v>1.28</c:v>
                </c:pt>
                <c:pt idx="4">
                  <c:v>1.35</c:v>
                </c:pt>
                <c:pt idx="5">
                  <c:v>1.4</c:v>
                </c:pt>
              </c:numCache>
            </c:numRef>
          </c:val>
        </c:ser>
        <c:ser>
          <c:idx val="5"/>
          <c:order val="5"/>
          <c:tx>
            <c:strRef>
              <c:f>'[Bloomberg EURUSD.xml]Лист3'!$G$1:$G$2</c:f>
              <c:strCache>
                <c:ptCount val="1"/>
                <c:pt idx="0">
                  <c:v>Banca Aletti &amp; C spa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EURUSD.xml]Лист3'!$G$3:$G$9</c:f>
              <c:numCache>
                <c:formatCode>General</c:formatCode>
                <c:ptCount val="7"/>
                <c:pt idx="0">
                  <c:v>1.33</c:v>
                </c:pt>
                <c:pt idx="1">
                  <c:v>1.3</c:v>
                </c:pt>
                <c:pt idx="2">
                  <c:v>1.29</c:v>
                </c:pt>
                <c:pt idx="3">
                  <c:v>1.33</c:v>
                </c:pt>
              </c:numCache>
            </c:numRef>
          </c:val>
        </c:ser>
        <c:ser>
          <c:idx val="6"/>
          <c:order val="6"/>
          <c:tx>
            <c:strRef>
              <c:f>'[Bloomberg EURUSD.xml]Лист3'!$H$1:$H$2</c:f>
              <c:strCache>
                <c:ptCount val="1"/>
                <c:pt idx="0">
                  <c:v>Barclays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EURUSD.xml]Лист3'!$H$3:$H$9</c:f>
              <c:numCache>
                <c:formatCode>General</c:formatCode>
                <c:ptCount val="7"/>
                <c:pt idx="0">
                  <c:v>1.28</c:v>
                </c:pt>
                <c:pt idx="1">
                  <c:v>1.25</c:v>
                </c:pt>
                <c:pt idx="2">
                  <c:v>1.24</c:v>
                </c:pt>
                <c:pt idx="3">
                  <c:v>1.23</c:v>
                </c:pt>
                <c:pt idx="4">
                  <c:v>1.23</c:v>
                </c:pt>
                <c:pt idx="5">
                  <c:v>1.23</c:v>
                </c:pt>
                <c:pt idx="6">
                  <c:v>1.23</c:v>
                </c:pt>
              </c:numCache>
            </c:numRef>
          </c:val>
        </c:ser>
        <c:ser>
          <c:idx val="7"/>
          <c:order val="7"/>
          <c:tx>
            <c:strRef>
              <c:f>'[Bloomberg EURUSD.xml]Лист3'!$I$1:$I$2</c:f>
              <c:strCache>
                <c:ptCount val="1"/>
                <c:pt idx="0">
                  <c:v>BMO Capital Markets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EURUSD.xml]Лист3'!$I$3:$I$9</c:f>
              <c:numCache>
                <c:formatCode>General</c:formatCode>
                <c:ptCount val="7"/>
                <c:pt idx="0">
                  <c:v>1.26</c:v>
                </c:pt>
                <c:pt idx="1">
                  <c:v>1.25</c:v>
                </c:pt>
                <c:pt idx="2">
                  <c:v>1.26</c:v>
                </c:pt>
                <c:pt idx="3">
                  <c:v>1.27</c:v>
                </c:pt>
                <c:pt idx="4">
                  <c:v>1.3</c:v>
                </c:pt>
              </c:numCache>
            </c:numRef>
          </c:val>
        </c:ser>
        <c:ser>
          <c:idx val="8"/>
          <c:order val="8"/>
          <c:tx>
            <c:strRef>
              <c:f>'[Bloomberg EURUSD.xml]Лист3'!$J$1:$J$2</c:f>
              <c:strCache>
                <c:ptCount val="1"/>
                <c:pt idx="0">
                  <c:v>BNP Paribas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EURUSD.xml]Лист3'!$J$3:$J$9</c:f>
              <c:numCache>
                <c:formatCode>General</c:formatCode>
                <c:ptCount val="7"/>
                <c:pt idx="0">
                  <c:v>1.35</c:v>
                </c:pt>
                <c:pt idx="1">
                  <c:v>1.35</c:v>
                </c:pt>
                <c:pt idx="2">
                  <c:v>1.33</c:v>
                </c:pt>
                <c:pt idx="3">
                  <c:v>1.33</c:v>
                </c:pt>
                <c:pt idx="4">
                  <c:v>1.25</c:v>
                </c:pt>
                <c:pt idx="5">
                  <c:v>1.2</c:v>
                </c:pt>
                <c:pt idx="6">
                  <c:v>1.2</c:v>
                </c:pt>
              </c:numCache>
            </c:numRef>
          </c:val>
        </c:ser>
        <c:ser>
          <c:idx val="9"/>
          <c:order val="9"/>
          <c:tx>
            <c:strRef>
              <c:f>'[Bloomberg EURUSD.xml]Лист3'!$K$1:$K$2</c:f>
              <c:strCache>
                <c:ptCount val="1"/>
                <c:pt idx="0">
                  <c:v>Bank of America Merrill Lynch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EURUSD.xml]Лист3'!$K$3:$K$9</c:f>
              <c:numCache>
                <c:formatCode>General</c:formatCode>
                <c:ptCount val="7"/>
                <c:pt idx="0">
                  <c:v>1.28</c:v>
                </c:pt>
                <c:pt idx="1">
                  <c:v>1.26</c:v>
                </c:pt>
                <c:pt idx="2">
                  <c:v>1.25</c:v>
                </c:pt>
                <c:pt idx="3">
                  <c:v>1.24</c:v>
                </c:pt>
                <c:pt idx="4">
                  <c:v>1.22</c:v>
                </c:pt>
              </c:numCache>
            </c:numRef>
          </c:val>
        </c:ser>
        <c:ser>
          <c:idx val="10"/>
          <c:order val="10"/>
          <c:tx>
            <c:strRef>
              <c:f>'[Bloomberg EURUSD.xml]Лист3'!$L$1:$L$2</c:f>
              <c:strCache>
                <c:ptCount val="1"/>
                <c:pt idx="0">
                  <c:v>Bank of Tokyo-Mitsubishi UFJ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EURUSD.xml]Лист3'!$L$3:$L$9</c:f>
              <c:numCache>
                <c:formatCode>General</c:formatCode>
                <c:ptCount val="7"/>
                <c:pt idx="0">
                  <c:v>1.3</c:v>
                </c:pt>
                <c:pt idx="1">
                  <c:v>1.28</c:v>
                </c:pt>
                <c:pt idx="2">
                  <c:v>1.25</c:v>
                </c:pt>
                <c:pt idx="3">
                  <c:v>1.22</c:v>
                </c:pt>
              </c:numCache>
            </c:numRef>
          </c:val>
        </c:ser>
        <c:ser>
          <c:idx val="11"/>
          <c:order val="11"/>
          <c:tx>
            <c:strRef>
              <c:f>'[Bloomberg EURUSD.xml]Лист3'!$M$1:$M$2</c:f>
              <c:strCache>
                <c:ptCount val="1"/>
                <c:pt idx="0">
                  <c:v>Banco Bilbao Vizcaya Argentaria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EURUSD.xml]Лист3'!$M$3:$M$9</c:f>
              <c:numCache>
                <c:formatCode>General</c:formatCode>
                <c:ptCount val="7"/>
                <c:pt idx="0">
                  <c:v>1.26</c:v>
                </c:pt>
                <c:pt idx="1">
                  <c:v>1.3</c:v>
                </c:pt>
                <c:pt idx="2">
                  <c:v>1.32</c:v>
                </c:pt>
                <c:pt idx="3">
                  <c:v>1.31</c:v>
                </c:pt>
                <c:pt idx="4">
                  <c:v>1.3</c:v>
                </c:pt>
                <c:pt idx="5">
                  <c:v>1.35</c:v>
                </c:pt>
              </c:numCache>
            </c:numRef>
          </c:val>
        </c:ser>
        <c:ser>
          <c:idx val="12"/>
          <c:order val="12"/>
          <c:tx>
            <c:strRef>
              <c:f>'[Bloomberg EURUSD.xml]Лист3'!$N$1:$N$2</c:f>
              <c:strCache>
                <c:ptCount val="1"/>
                <c:pt idx="0">
                  <c:v>Credit Agricole CIB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EURUSD.xml]Лист3'!$N$3:$N$9</c:f>
              <c:numCache>
                <c:formatCode>General</c:formatCode>
                <c:ptCount val="7"/>
                <c:pt idx="0">
                  <c:v>1.3</c:v>
                </c:pt>
                <c:pt idx="1">
                  <c:v>1.28</c:v>
                </c:pt>
                <c:pt idx="2">
                  <c:v>1.25</c:v>
                </c:pt>
                <c:pt idx="3">
                  <c:v>1.23</c:v>
                </c:pt>
                <c:pt idx="4">
                  <c:v>1.2</c:v>
                </c:pt>
              </c:numCache>
            </c:numRef>
          </c:val>
        </c:ser>
        <c:ser>
          <c:idx val="13"/>
          <c:order val="13"/>
          <c:tx>
            <c:strRef>
              <c:f>'[Bloomberg EURUSD.xml]Лист3'!$O$1:$O$2</c:f>
              <c:strCache>
                <c:ptCount val="1"/>
                <c:pt idx="0">
                  <c:v>Commonwealth Bank of Australia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EURUSD.xml]Лист3'!$O$3:$O$9</c:f>
              <c:numCache>
                <c:formatCode>General</c:formatCode>
                <c:ptCount val="7"/>
                <c:pt idx="0">
                  <c:v>1.35</c:v>
                </c:pt>
                <c:pt idx="1">
                  <c:v>1.37</c:v>
                </c:pt>
                <c:pt idx="2">
                  <c:v>1.38</c:v>
                </c:pt>
                <c:pt idx="3">
                  <c:v>1.4</c:v>
                </c:pt>
                <c:pt idx="4">
                  <c:v>1.38</c:v>
                </c:pt>
              </c:numCache>
            </c:numRef>
          </c:val>
        </c:ser>
        <c:ser>
          <c:idx val="14"/>
          <c:order val="14"/>
          <c:tx>
            <c:strRef>
              <c:f>'[Bloomberg EURUSD.xml]Лист3'!$P$1:$P$2</c:f>
              <c:strCache>
                <c:ptCount val="1"/>
                <c:pt idx="0">
                  <c:v>CIB Bank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EURUSD.xml]Лист3'!$P$3:$P$9</c:f>
              <c:numCache>
                <c:formatCode>General</c:formatCode>
                <c:ptCount val="7"/>
                <c:pt idx="0">
                  <c:v>1.29</c:v>
                </c:pt>
                <c:pt idx="1">
                  <c:v>1.3</c:v>
                </c:pt>
                <c:pt idx="2">
                  <c:v>1.3</c:v>
                </c:pt>
                <c:pt idx="4">
                  <c:v>1.28</c:v>
                </c:pt>
                <c:pt idx="5">
                  <c:v>1.26</c:v>
                </c:pt>
                <c:pt idx="6">
                  <c:v>1.25</c:v>
                </c:pt>
              </c:numCache>
            </c:numRef>
          </c:val>
        </c:ser>
        <c:ser>
          <c:idx val="15"/>
          <c:order val="15"/>
          <c:tx>
            <c:strRef>
              <c:f>'[Bloomberg EURUSD.xml]Лист3'!$Q$1:$Q$2</c:f>
              <c:strCache>
                <c:ptCount val="1"/>
                <c:pt idx="0">
                  <c:v>Cinkciarz.pl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EURUSD.xml]Лист3'!$Q$3:$Q$9</c:f>
              <c:numCache>
                <c:formatCode>General</c:formatCode>
                <c:ptCount val="7"/>
                <c:pt idx="0">
                  <c:v>1.34</c:v>
                </c:pt>
                <c:pt idx="1">
                  <c:v>1.34</c:v>
                </c:pt>
                <c:pt idx="2">
                  <c:v>1.3</c:v>
                </c:pt>
                <c:pt idx="3">
                  <c:v>1.27</c:v>
                </c:pt>
              </c:numCache>
            </c:numRef>
          </c:val>
        </c:ser>
        <c:ser>
          <c:idx val="16"/>
          <c:order val="16"/>
          <c:tx>
            <c:strRef>
              <c:f>'[Bloomberg EURUSD.xml]Лист3'!$R$1:$R$2</c:f>
              <c:strCache>
                <c:ptCount val="1"/>
                <c:pt idx="0">
                  <c:v>Canadian Imperial Bank of Commerce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EURUSD.xml]Лист3'!$R$3:$R$9</c:f>
              <c:numCache>
                <c:formatCode>General</c:formatCode>
                <c:ptCount val="7"/>
                <c:pt idx="0">
                  <c:v>1.27</c:v>
                </c:pt>
                <c:pt idx="1">
                  <c:v>1.25</c:v>
                </c:pt>
                <c:pt idx="2">
                  <c:v>1.28</c:v>
                </c:pt>
                <c:pt idx="4">
                  <c:v>1.32</c:v>
                </c:pt>
              </c:numCache>
            </c:numRef>
          </c:val>
        </c:ser>
        <c:ser>
          <c:idx val="17"/>
          <c:order val="17"/>
          <c:tx>
            <c:strRef>
              <c:f>'[Bloomberg EURUSD.xml]Лист3'!$S$1:$S$2</c:f>
              <c:strCache>
                <c:ptCount val="1"/>
                <c:pt idx="0">
                  <c:v>Citigroup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EURUSD.xml]Лист3'!$S$3:$S$9</c:f>
              <c:numCache>
                <c:formatCode>General</c:formatCode>
                <c:ptCount val="7"/>
                <c:pt idx="0">
                  <c:v>1.31</c:v>
                </c:pt>
                <c:pt idx="1">
                  <c:v>1.28</c:v>
                </c:pt>
                <c:pt idx="2">
                  <c:v>1.25</c:v>
                </c:pt>
                <c:pt idx="3">
                  <c:v>1.24</c:v>
                </c:pt>
                <c:pt idx="4">
                  <c:v>1.21</c:v>
                </c:pt>
              </c:numCache>
            </c:numRef>
          </c:val>
        </c:ser>
        <c:ser>
          <c:idx val="18"/>
          <c:order val="18"/>
          <c:tx>
            <c:strRef>
              <c:f>'[Bloomberg EURUSD.xml]Лист3'!$T$1:$T$2</c:f>
              <c:strCache>
                <c:ptCount val="1"/>
                <c:pt idx="0">
                  <c:v>Commerzbank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EURUSD.xml]Лист3'!$T$3:$T$9</c:f>
              <c:numCache>
                <c:formatCode>General</c:formatCode>
                <c:ptCount val="7"/>
                <c:pt idx="0">
                  <c:v>1.33</c:v>
                </c:pt>
                <c:pt idx="1">
                  <c:v>1.32</c:v>
                </c:pt>
                <c:pt idx="2">
                  <c:v>1.28</c:v>
                </c:pt>
                <c:pt idx="4">
                  <c:v>1.2</c:v>
                </c:pt>
              </c:numCache>
            </c:numRef>
          </c:val>
        </c:ser>
        <c:ser>
          <c:idx val="19"/>
          <c:order val="19"/>
          <c:tx>
            <c:strRef>
              <c:f>'[Bloomberg EURUSD.xml]Лист3'!$U$1:$U$2</c:f>
              <c:strCache>
                <c:ptCount val="1"/>
                <c:pt idx="0">
                  <c:v>Credit Suisse Group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EURUSD.xml]Лист3'!$U$3:$U$9</c:f>
              <c:numCache>
                <c:formatCode>General</c:formatCode>
                <c:ptCount val="7"/>
                <c:pt idx="0">
                  <c:v>1.33</c:v>
                </c:pt>
                <c:pt idx="1">
                  <c:v>1.35</c:v>
                </c:pt>
                <c:pt idx="2">
                  <c:v>1.38</c:v>
                </c:pt>
                <c:pt idx="3">
                  <c:v>1.4</c:v>
                </c:pt>
                <c:pt idx="4">
                  <c:v>1.38</c:v>
                </c:pt>
                <c:pt idx="5">
                  <c:v>1.33</c:v>
                </c:pt>
                <c:pt idx="6">
                  <c:v>1.3</c:v>
                </c:pt>
              </c:numCache>
            </c:numRef>
          </c:val>
        </c:ser>
        <c:ser>
          <c:idx val="20"/>
          <c:order val="20"/>
          <c:tx>
            <c:strRef>
              <c:f>'[Bloomberg EURUSD.xml]Лист3'!$V$1:$V$2</c:f>
              <c:strCache>
                <c:ptCount val="1"/>
                <c:pt idx="0">
                  <c:v>DNB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EURUSD.xml]Лист3'!$V$3:$V$9</c:f>
              <c:numCache>
                <c:formatCode>General</c:formatCode>
                <c:ptCount val="7"/>
                <c:pt idx="0">
                  <c:v>1.32</c:v>
                </c:pt>
                <c:pt idx="1">
                  <c:v>1.34</c:v>
                </c:pt>
                <c:pt idx="2">
                  <c:v>1.36</c:v>
                </c:pt>
              </c:numCache>
            </c:numRef>
          </c:val>
        </c:ser>
        <c:ser>
          <c:idx val="21"/>
          <c:order val="21"/>
          <c:tx>
            <c:strRef>
              <c:f>'[Bloomberg EURUSD.xml]Лист3'!$W$1:$W$2</c:f>
              <c:strCache>
                <c:ptCount val="1"/>
                <c:pt idx="0">
                  <c:v>Danske Bank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EURUSD.xml]Лист3'!$W$3:$W$9</c:f>
              <c:numCache>
                <c:formatCode>General</c:formatCode>
                <c:ptCount val="7"/>
                <c:pt idx="0">
                  <c:v>1.33</c:v>
                </c:pt>
                <c:pt idx="1">
                  <c:v>1.31</c:v>
                </c:pt>
                <c:pt idx="3">
                  <c:v>1.27</c:v>
                </c:pt>
              </c:numCache>
            </c:numRef>
          </c:val>
        </c:ser>
        <c:ser>
          <c:idx val="22"/>
          <c:order val="22"/>
          <c:tx>
            <c:strRef>
              <c:f>'[Bloomberg EURUSD.xml]Лист3'!$X$1:$X$2</c:f>
              <c:strCache>
                <c:ptCount val="1"/>
                <c:pt idx="0">
                  <c:v>DZ Bank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EURUSD.xml]Лист3'!$X$3:$X$9</c:f>
              <c:numCache>
                <c:formatCode>General</c:formatCode>
                <c:ptCount val="7"/>
                <c:pt idx="0">
                  <c:v>1.31</c:v>
                </c:pt>
                <c:pt idx="1">
                  <c:v>1.27</c:v>
                </c:pt>
                <c:pt idx="2">
                  <c:v>1.25</c:v>
                </c:pt>
                <c:pt idx="3">
                  <c:v>1.23</c:v>
                </c:pt>
              </c:numCache>
            </c:numRef>
          </c:val>
        </c:ser>
        <c:ser>
          <c:idx val="23"/>
          <c:order val="23"/>
          <c:tx>
            <c:strRef>
              <c:f>'[Bloomberg EURUSD.xml]Лист3'!$Y$1:$Y$2</c:f>
              <c:strCache>
                <c:ptCount val="1"/>
                <c:pt idx="0">
                  <c:v>Emirates NBD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EURUSD.xml]Лист3'!$Y$3:$Y$9</c:f>
              <c:numCache>
                <c:formatCode>General</c:formatCode>
                <c:ptCount val="7"/>
                <c:pt idx="0">
                  <c:v>1.25</c:v>
                </c:pt>
                <c:pt idx="1">
                  <c:v>1.2</c:v>
                </c:pt>
                <c:pt idx="2">
                  <c:v>1.18</c:v>
                </c:pt>
              </c:numCache>
            </c:numRef>
          </c:val>
        </c:ser>
        <c:ser>
          <c:idx val="24"/>
          <c:order val="24"/>
          <c:tx>
            <c:strRef>
              <c:f>'[Bloomberg EURUSD.xml]Лист3'!$Z$1:$Z$2</c:f>
              <c:strCache>
                <c:ptCount val="1"/>
                <c:pt idx="0">
                  <c:v>Ebury Partners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EURUSD.xml]Лист3'!$Z$3:$Z$9</c:f>
              <c:numCache>
                <c:formatCode>General</c:formatCode>
                <c:ptCount val="7"/>
                <c:pt idx="0">
                  <c:v>1.24</c:v>
                </c:pt>
                <c:pt idx="1">
                  <c:v>1.2</c:v>
                </c:pt>
                <c:pt idx="2">
                  <c:v>1.1499999999999999</c:v>
                </c:pt>
                <c:pt idx="4">
                  <c:v>1.1200000000000001</c:v>
                </c:pt>
              </c:numCache>
            </c:numRef>
          </c:val>
        </c:ser>
        <c:ser>
          <c:idx val="25"/>
          <c:order val="25"/>
          <c:tx>
            <c:strRef>
              <c:f>'[Bloomberg EURUSD.xml]Лист3'!$AA$1:$AA$2</c:f>
              <c:strCache>
                <c:ptCount val="1"/>
                <c:pt idx="0">
                  <c:v>HSBC Holdings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EURUSD.xml]Лист3'!$AA$3:$AA$9</c:f>
              <c:numCache>
                <c:formatCode>General</c:formatCode>
                <c:ptCount val="7"/>
                <c:pt idx="0">
                  <c:v>1.32</c:v>
                </c:pt>
                <c:pt idx="1">
                  <c:v>1.34</c:v>
                </c:pt>
                <c:pt idx="2">
                  <c:v>1.35</c:v>
                </c:pt>
                <c:pt idx="3">
                  <c:v>1.37</c:v>
                </c:pt>
                <c:pt idx="4">
                  <c:v>1.4</c:v>
                </c:pt>
              </c:numCache>
            </c:numRef>
          </c:val>
        </c:ser>
        <c:ser>
          <c:idx val="26"/>
          <c:order val="26"/>
          <c:tx>
            <c:strRef>
              <c:f>'[Bloomberg EURUSD.xml]Лист3'!$AB$1:$AB$2</c:f>
              <c:strCache>
                <c:ptCount val="1"/>
                <c:pt idx="0">
                  <c:v>Intesa Sanpaolo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EURUSD.xml]Лист3'!$AB$3:$AB$9</c:f>
              <c:numCache>
                <c:formatCode>General</c:formatCode>
                <c:ptCount val="7"/>
                <c:pt idx="0">
                  <c:v>1.29</c:v>
                </c:pt>
                <c:pt idx="1">
                  <c:v>1.3</c:v>
                </c:pt>
                <c:pt idx="2">
                  <c:v>1.29</c:v>
                </c:pt>
                <c:pt idx="3">
                  <c:v>1.28</c:v>
                </c:pt>
                <c:pt idx="4">
                  <c:v>1.27</c:v>
                </c:pt>
                <c:pt idx="5">
                  <c:v>1.27</c:v>
                </c:pt>
              </c:numCache>
            </c:numRef>
          </c:val>
        </c:ser>
        <c:ser>
          <c:idx val="27"/>
          <c:order val="27"/>
          <c:tx>
            <c:strRef>
              <c:f>'[Bloomberg EURUSD.xml]Лист3'!$AC$1:$AC$2</c:f>
              <c:strCache>
                <c:ptCount val="1"/>
                <c:pt idx="0">
                  <c:v>JPMorgan Chase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EURUSD.xml]Лист3'!$AC$3:$AC$9</c:f>
              <c:numCache>
                <c:formatCode>General</c:formatCode>
                <c:ptCount val="7"/>
                <c:pt idx="0">
                  <c:v>1.32</c:v>
                </c:pt>
                <c:pt idx="1">
                  <c:v>1.34</c:v>
                </c:pt>
                <c:pt idx="2">
                  <c:v>1.34</c:v>
                </c:pt>
                <c:pt idx="3">
                  <c:v>1.34</c:v>
                </c:pt>
              </c:numCache>
            </c:numRef>
          </c:val>
        </c:ser>
        <c:ser>
          <c:idx val="28"/>
          <c:order val="28"/>
          <c:tx>
            <c:strRef>
              <c:f>'[Bloomberg EURUSD.xml]Лист3'!$AD$1:$AD$2</c:f>
              <c:strCache>
                <c:ptCount val="1"/>
                <c:pt idx="0">
                  <c:v>Landesbank Baden-Wuerttemberg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EURUSD.xml]Лист3'!$AD$3:$AD$9</c:f>
              <c:numCache>
                <c:formatCode>General</c:formatCode>
                <c:ptCount val="7"/>
                <c:pt idx="0">
                  <c:v>1.3</c:v>
                </c:pt>
                <c:pt idx="1">
                  <c:v>1.29</c:v>
                </c:pt>
                <c:pt idx="2">
                  <c:v>1.27</c:v>
                </c:pt>
                <c:pt idx="3">
                  <c:v>1.27</c:v>
                </c:pt>
              </c:numCache>
            </c:numRef>
          </c:val>
        </c:ser>
        <c:ser>
          <c:idx val="29"/>
          <c:order val="29"/>
          <c:tx>
            <c:strRef>
              <c:f>'[Bloomberg EURUSD.xml]Лист3'!$AE$1:$AE$2</c:f>
              <c:strCache>
                <c:ptCount val="1"/>
                <c:pt idx="0">
                  <c:v>Lloyds Banking Group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EURUSD.xml]Лист3'!$AE$3:$AE$9</c:f>
              <c:numCache>
                <c:formatCode>General</c:formatCode>
                <c:ptCount val="7"/>
                <c:pt idx="0">
                  <c:v>1.25</c:v>
                </c:pt>
                <c:pt idx="1">
                  <c:v>1.23</c:v>
                </c:pt>
                <c:pt idx="2">
                  <c:v>1.2</c:v>
                </c:pt>
                <c:pt idx="3">
                  <c:v>1.2</c:v>
                </c:pt>
                <c:pt idx="4">
                  <c:v>1.2</c:v>
                </c:pt>
                <c:pt idx="5">
                  <c:v>1.25</c:v>
                </c:pt>
                <c:pt idx="6">
                  <c:v>1.25</c:v>
                </c:pt>
              </c:numCache>
            </c:numRef>
          </c:val>
        </c:ser>
        <c:ser>
          <c:idx val="30"/>
          <c:order val="30"/>
          <c:tx>
            <c:strRef>
              <c:f>'[Bloomberg EURUSD.xml]Лист3'!$AF$1:$AF$2</c:f>
              <c:strCache>
                <c:ptCount val="1"/>
                <c:pt idx="0">
                  <c:v>Macquarie Bank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EURUSD.xml]Лист3'!$AF$3:$AF$9</c:f>
              <c:numCache>
                <c:formatCode>General</c:formatCode>
                <c:ptCount val="7"/>
                <c:pt idx="0">
                  <c:v>1.26</c:v>
                </c:pt>
                <c:pt idx="1">
                  <c:v>1.28</c:v>
                </c:pt>
              </c:numCache>
            </c:numRef>
          </c:val>
        </c:ser>
        <c:ser>
          <c:idx val="31"/>
          <c:order val="31"/>
          <c:tx>
            <c:strRef>
              <c:f>'[Bloomberg EURUSD.xml]Лист3'!$AG$1:$AG$2</c:f>
              <c:strCache>
                <c:ptCount val="1"/>
                <c:pt idx="0">
                  <c:v>Mouvement Desjardins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EURUSD.xml]Лист3'!$AG$3:$AG$9</c:f>
              <c:numCache>
                <c:formatCode>General</c:formatCode>
                <c:ptCount val="7"/>
                <c:pt idx="0">
                  <c:v>1.3</c:v>
                </c:pt>
                <c:pt idx="1">
                  <c:v>1.31</c:v>
                </c:pt>
                <c:pt idx="2">
                  <c:v>1.33</c:v>
                </c:pt>
                <c:pt idx="4">
                  <c:v>1.36</c:v>
                </c:pt>
              </c:numCache>
            </c:numRef>
          </c:val>
        </c:ser>
        <c:ser>
          <c:idx val="32"/>
          <c:order val="32"/>
          <c:tx>
            <c:strRef>
              <c:f>'[Bloomberg EURUSD.xml]Лист3'!$AH$1:$AH$2</c:f>
              <c:strCache>
                <c:ptCount val="1"/>
                <c:pt idx="0">
                  <c:v>MPS Capital Services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EURUSD.xml]Лист3'!$AH$3:$AH$9</c:f>
              <c:numCache>
                <c:formatCode>General</c:formatCode>
                <c:ptCount val="7"/>
                <c:pt idx="0">
                  <c:v>1.32</c:v>
                </c:pt>
                <c:pt idx="1">
                  <c:v>1.27</c:v>
                </c:pt>
                <c:pt idx="2">
                  <c:v>1.32</c:v>
                </c:pt>
                <c:pt idx="3">
                  <c:v>1.32</c:v>
                </c:pt>
              </c:numCache>
            </c:numRef>
          </c:val>
        </c:ser>
        <c:ser>
          <c:idx val="33"/>
          <c:order val="33"/>
          <c:tx>
            <c:strRef>
              <c:f>'[Bloomberg EURUSD.xml]Лист3'!$AI$1:$AI$2</c:f>
              <c:strCache>
                <c:ptCount val="1"/>
                <c:pt idx="0">
                  <c:v>Morgan Stanley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EURUSD.xml]Лист3'!$AI$3:$AI$9</c:f>
              <c:numCache>
                <c:formatCode>General</c:formatCode>
                <c:ptCount val="7"/>
                <c:pt idx="0">
                  <c:v>1.34</c:v>
                </c:pt>
                <c:pt idx="1">
                  <c:v>1.3</c:v>
                </c:pt>
                <c:pt idx="2">
                  <c:v>1.26</c:v>
                </c:pt>
                <c:pt idx="3">
                  <c:v>1.24</c:v>
                </c:pt>
              </c:numCache>
            </c:numRef>
          </c:val>
        </c:ser>
        <c:ser>
          <c:idx val="34"/>
          <c:order val="34"/>
          <c:tx>
            <c:strRef>
              <c:f>'[Bloomberg EURUSD.xml]Лист3'!$AJ$1:$AJ$2</c:f>
              <c:strCache>
                <c:ptCount val="1"/>
                <c:pt idx="0">
                  <c:v>National Australia Bank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EURUSD.xml]Лист3'!$AJ$3:$AJ$9</c:f>
              <c:numCache>
                <c:formatCode>General</c:formatCode>
                <c:ptCount val="7"/>
                <c:pt idx="0">
                  <c:v>1.27</c:v>
                </c:pt>
                <c:pt idx="1">
                  <c:v>1.25</c:v>
                </c:pt>
                <c:pt idx="2">
                  <c:v>1.27</c:v>
                </c:pt>
                <c:pt idx="4">
                  <c:v>1.18</c:v>
                </c:pt>
              </c:numCache>
            </c:numRef>
          </c:val>
        </c:ser>
        <c:ser>
          <c:idx val="35"/>
          <c:order val="35"/>
          <c:tx>
            <c:strRef>
              <c:f>'[Bloomberg EURUSD.xml]Лист3'!$AK$1:$AK$2</c:f>
              <c:strCache>
                <c:ptCount val="1"/>
                <c:pt idx="0">
                  <c:v>National Bank Financial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EURUSD.xml]Лист3'!$AK$3:$AK$9</c:f>
              <c:numCache>
                <c:formatCode>General</c:formatCode>
                <c:ptCount val="7"/>
                <c:pt idx="0">
                  <c:v>1.23</c:v>
                </c:pt>
                <c:pt idx="1">
                  <c:v>1.24</c:v>
                </c:pt>
                <c:pt idx="2">
                  <c:v>1.25</c:v>
                </c:pt>
                <c:pt idx="3">
                  <c:v>1.26</c:v>
                </c:pt>
                <c:pt idx="4">
                  <c:v>1.29</c:v>
                </c:pt>
              </c:numCache>
            </c:numRef>
          </c:val>
        </c:ser>
        <c:ser>
          <c:idx val="36"/>
          <c:order val="36"/>
          <c:tx>
            <c:strRef>
              <c:f>'[Bloomberg EURUSD.xml]Лист3'!$AL$1:$AL$2</c:f>
              <c:strCache>
                <c:ptCount val="1"/>
                <c:pt idx="0">
                  <c:v>Nomura Bank International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EURUSD.xml]Лист3'!$AL$3:$AL$9</c:f>
              <c:numCache>
                <c:formatCode>General</c:formatCode>
                <c:ptCount val="7"/>
                <c:pt idx="0">
                  <c:v>1.28</c:v>
                </c:pt>
                <c:pt idx="1">
                  <c:v>1.25</c:v>
                </c:pt>
                <c:pt idx="2">
                  <c:v>1.23</c:v>
                </c:pt>
              </c:numCache>
            </c:numRef>
          </c:val>
        </c:ser>
        <c:ser>
          <c:idx val="37"/>
          <c:order val="37"/>
          <c:tx>
            <c:strRef>
              <c:f>'[Bloomberg EURUSD.xml]Лист3'!$AM$1:$AM$2</c:f>
              <c:strCache>
                <c:ptCount val="1"/>
                <c:pt idx="0">
                  <c:v>Norddeutsche Landesbank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EURUSD.xml]Лист3'!$AM$3:$AM$9</c:f>
              <c:numCache>
                <c:formatCode>General</c:formatCode>
                <c:ptCount val="7"/>
                <c:pt idx="0">
                  <c:v>1.3</c:v>
                </c:pt>
                <c:pt idx="1">
                  <c:v>1.28</c:v>
                </c:pt>
                <c:pt idx="2">
                  <c:v>1.26</c:v>
                </c:pt>
                <c:pt idx="3">
                  <c:v>1.25</c:v>
                </c:pt>
                <c:pt idx="4">
                  <c:v>1.25</c:v>
                </c:pt>
                <c:pt idx="5">
                  <c:v>1.25</c:v>
                </c:pt>
                <c:pt idx="6">
                  <c:v>1.25</c:v>
                </c:pt>
              </c:numCache>
            </c:numRef>
          </c:val>
        </c:ser>
        <c:ser>
          <c:idx val="38"/>
          <c:order val="38"/>
          <c:tx>
            <c:strRef>
              <c:f>'[Bloomberg EURUSD.xml]Лист3'!$AN$1:$AN$2</c:f>
              <c:strCache>
                <c:ptCount val="1"/>
                <c:pt idx="0">
                  <c:v>Natixis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EURUSD.xml]Лист3'!$AN$3:$AN$9</c:f>
              <c:numCache>
                <c:formatCode>General</c:formatCode>
                <c:ptCount val="7"/>
                <c:pt idx="0">
                  <c:v>1.28</c:v>
                </c:pt>
                <c:pt idx="1">
                  <c:v>1.26</c:v>
                </c:pt>
                <c:pt idx="2">
                  <c:v>1.24</c:v>
                </c:pt>
                <c:pt idx="3">
                  <c:v>1.22</c:v>
                </c:pt>
              </c:numCache>
            </c:numRef>
          </c:val>
        </c:ser>
        <c:ser>
          <c:idx val="39"/>
          <c:order val="39"/>
          <c:tx>
            <c:strRef>
              <c:f>'[Bloomberg EURUSD.xml]Лист3'!$AO$1:$AO$2</c:f>
              <c:strCache>
                <c:ptCount val="1"/>
                <c:pt idx="0">
                  <c:v>Oversea-Chinese Banking Corp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EURUSD.xml]Лист3'!$AO$3:$AO$9</c:f>
              <c:numCache>
                <c:formatCode>General</c:formatCode>
                <c:ptCount val="7"/>
                <c:pt idx="0">
                  <c:v>1.26</c:v>
                </c:pt>
                <c:pt idx="1">
                  <c:v>1.26</c:v>
                </c:pt>
                <c:pt idx="2">
                  <c:v>1.26</c:v>
                </c:pt>
                <c:pt idx="3">
                  <c:v>1.25</c:v>
                </c:pt>
              </c:numCache>
            </c:numRef>
          </c:val>
        </c:ser>
        <c:ser>
          <c:idx val="40"/>
          <c:order val="40"/>
          <c:tx>
            <c:strRef>
              <c:f>'[Bloomberg EURUSD.xml]Лист3'!$AP$1:$AP$2</c:f>
              <c:strCache>
                <c:ptCount val="1"/>
                <c:pt idx="0">
                  <c:v>Petrocommerce Bank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EURUSD.xml]Лист3'!$AP$3:$AP$9</c:f>
              <c:numCache>
                <c:formatCode>General</c:formatCode>
                <c:ptCount val="7"/>
                <c:pt idx="0">
                  <c:v>1.31</c:v>
                </c:pt>
                <c:pt idx="1">
                  <c:v>1.33</c:v>
                </c:pt>
                <c:pt idx="2">
                  <c:v>1.35</c:v>
                </c:pt>
                <c:pt idx="3">
                  <c:v>1.35</c:v>
                </c:pt>
              </c:numCache>
            </c:numRef>
          </c:val>
        </c:ser>
        <c:ser>
          <c:idx val="41"/>
          <c:order val="41"/>
          <c:tx>
            <c:strRef>
              <c:f>'[Bloomberg EURUSD.xml]Лист3'!$AQ$1:$AQ$2</c:f>
              <c:strCache>
                <c:ptCount val="1"/>
                <c:pt idx="0">
                  <c:v>Prestige Economics LLC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EURUSD.xml]Лист3'!$AQ$3:$AQ$9</c:f>
              <c:numCache>
                <c:formatCode>General</c:formatCode>
                <c:ptCount val="7"/>
                <c:pt idx="0">
                  <c:v>1.33</c:v>
                </c:pt>
                <c:pt idx="1">
                  <c:v>1.36</c:v>
                </c:pt>
                <c:pt idx="2">
                  <c:v>1.39</c:v>
                </c:pt>
                <c:pt idx="3">
                  <c:v>1.4</c:v>
                </c:pt>
                <c:pt idx="4">
                  <c:v>1.42</c:v>
                </c:pt>
              </c:numCache>
            </c:numRef>
          </c:val>
        </c:ser>
        <c:ser>
          <c:idx val="42"/>
          <c:order val="42"/>
          <c:tx>
            <c:strRef>
              <c:f>'[Bloomberg EURUSD.xml]Лист3'!$AR$1:$AR$2</c:f>
              <c:strCache>
                <c:ptCount val="1"/>
                <c:pt idx="0">
                  <c:v>Rabobank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EURUSD.xml]Лист3'!$AR$3:$AR$9</c:f>
              <c:numCache>
                <c:formatCode>General</c:formatCode>
                <c:ptCount val="7"/>
                <c:pt idx="0">
                  <c:v>1.28</c:v>
                </c:pt>
                <c:pt idx="1">
                  <c:v>1.32</c:v>
                </c:pt>
                <c:pt idx="2">
                  <c:v>1.36</c:v>
                </c:pt>
                <c:pt idx="3">
                  <c:v>1.39</c:v>
                </c:pt>
                <c:pt idx="4">
                  <c:v>1.35</c:v>
                </c:pt>
              </c:numCache>
            </c:numRef>
          </c:val>
        </c:ser>
        <c:ser>
          <c:idx val="43"/>
          <c:order val="43"/>
          <c:tx>
            <c:strRef>
              <c:f>'[Bloomberg EURUSD.xml]Лист3'!$AS$1:$AS$2</c:f>
              <c:strCache>
                <c:ptCount val="1"/>
                <c:pt idx="0">
                  <c:v>RBC Capital Markets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EURUSD.xml]Лист3'!$AS$3:$AS$9</c:f>
              <c:numCache>
                <c:formatCode>General</c:formatCode>
                <c:ptCount val="7"/>
                <c:pt idx="0">
                  <c:v>1.26</c:v>
                </c:pt>
                <c:pt idx="1">
                  <c:v>1.24</c:v>
                </c:pt>
                <c:pt idx="2">
                  <c:v>1.22</c:v>
                </c:pt>
                <c:pt idx="3">
                  <c:v>1.21</c:v>
                </c:pt>
                <c:pt idx="4">
                  <c:v>1.22</c:v>
                </c:pt>
              </c:numCache>
            </c:numRef>
          </c:val>
        </c:ser>
        <c:ser>
          <c:idx val="44"/>
          <c:order val="44"/>
          <c:tx>
            <c:strRef>
              <c:f>'[Bloomberg EURUSD.xml]Лист3'!$AT$1:$AT$2</c:f>
              <c:strCache>
                <c:ptCount val="1"/>
                <c:pt idx="0">
                  <c:v>Royal Bank of Scotland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EURUSD.xml]Лист3'!$AT$3:$AT$9</c:f>
              <c:numCache>
                <c:formatCode>General</c:formatCode>
                <c:ptCount val="7"/>
                <c:pt idx="0">
                  <c:v>1.23</c:v>
                </c:pt>
                <c:pt idx="1">
                  <c:v>1.21</c:v>
                </c:pt>
                <c:pt idx="2">
                  <c:v>1.19</c:v>
                </c:pt>
                <c:pt idx="3">
                  <c:v>1.21</c:v>
                </c:pt>
              </c:numCache>
            </c:numRef>
          </c:val>
        </c:ser>
        <c:ser>
          <c:idx val="45"/>
          <c:order val="45"/>
          <c:tx>
            <c:strRef>
              <c:f>'[Bloomberg EURUSD.xml]Лист3'!$AU$1:$AU$2</c:f>
              <c:strCache>
                <c:ptCount val="1"/>
                <c:pt idx="0">
                  <c:v>Redtower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EURUSD.xml]Лист3'!$AU$3:$AU$9</c:f>
              <c:numCache>
                <c:formatCode>General</c:formatCode>
                <c:ptCount val="7"/>
                <c:pt idx="0">
                  <c:v>1.24</c:v>
                </c:pt>
                <c:pt idx="1">
                  <c:v>1.2</c:v>
                </c:pt>
                <c:pt idx="2">
                  <c:v>1.1599999999999999</c:v>
                </c:pt>
                <c:pt idx="3">
                  <c:v>1.1200000000000001</c:v>
                </c:pt>
                <c:pt idx="4">
                  <c:v>1.04</c:v>
                </c:pt>
              </c:numCache>
            </c:numRef>
          </c:val>
        </c:ser>
        <c:ser>
          <c:idx val="46"/>
          <c:order val="46"/>
          <c:tx>
            <c:strRef>
              <c:f>'[Bloomberg EURUSD.xml]Лист3'!$AV$1:$AV$2</c:f>
              <c:strCache>
                <c:ptCount val="1"/>
                <c:pt idx="0">
                  <c:v>Banco Santander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EURUSD.xml]Лист3'!$AV$3:$AV$9</c:f>
              <c:numCache>
                <c:formatCode>General</c:formatCode>
                <c:ptCount val="7"/>
                <c:pt idx="0">
                  <c:v>1.33</c:v>
                </c:pt>
                <c:pt idx="1">
                  <c:v>1.34</c:v>
                </c:pt>
                <c:pt idx="2">
                  <c:v>1.36</c:v>
                </c:pt>
                <c:pt idx="3">
                  <c:v>1.36</c:v>
                </c:pt>
              </c:numCache>
            </c:numRef>
          </c:val>
        </c:ser>
        <c:ser>
          <c:idx val="47"/>
          <c:order val="47"/>
          <c:tx>
            <c:strRef>
              <c:f>'[Bloomberg EURUSD.xml]Лист3'!$AW$1:$AW$2</c:f>
              <c:strCache>
                <c:ptCount val="1"/>
                <c:pt idx="0">
                  <c:v>Saxo Bank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EURUSD.xml]Лист3'!$AW$3:$AW$9</c:f>
              <c:numCache>
                <c:formatCode>General</c:formatCode>
                <c:ptCount val="7"/>
                <c:pt idx="0">
                  <c:v>1.23</c:v>
                </c:pt>
                <c:pt idx="1">
                  <c:v>1.2</c:v>
                </c:pt>
                <c:pt idx="2">
                  <c:v>1.1499999999999999</c:v>
                </c:pt>
                <c:pt idx="3">
                  <c:v>1.1499999999999999</c:v>
                </c:pt>
                <c:pt idx="4">
                  <c:v>1.1200000000000001</c:v>
                </c:pt>
              </c:numCache>
            </c:numRef>
          </c:val>
        </c:ser>
        <c:ser>
          <c:idx val="48"/>
          <c:order val="48"/>
          <c:tx>
            <c:strRef>
              <c:f>'[Bloomberg EURUSD.xml]Лист3'!$AX$1:$AX$2</c:f>
              <c:strCache>
                <c:ptCount val="1"/>
                <c:pt idx="0">
                  <c:v>Standard Chartered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EURUSD.xml]Лист3'!$AX$3:$AX$9</c:f>
              <c:numCache>
                <c:formatCode>General</c:formatCode>
                <c:ptCount val="7"/>
                <c:pt idx="0">
                  <c:v>1.27</c:v>
                </c:pt>
                <c:pt idx="1">
                  <c:v>1.3</c:v>
                </c:pt>
                <c:pt idx="2">
                  <c:v>1.35</c:v>
                </c:pt>
                <c:pt idx="3">
                  <c:v>1.35</c:v>
                </c:pt>
              </c:numCache>
            </c:numRef>
          </c:val>
        </c:ser>
        <c:ser>
          <c:idx val="49"/>
          <c:order val="49"/>
          <c:tx>
            <c:strRef>
              <c:f>'[Bloomberg EURUSD.xml]Лист3'!$AY$1:$AY$2</c:f>
              <c:strCache>
                <c:ptCount val="1"/>
                <c:pt idx="0">
                  <c:v>Scotiabank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EURUSD.xml]Лист3'!$AY$3:$AY$9</c:f>
              <c:numCache>
                <c:formatCode>General</c:formatCode>
                <c:ptCount val="7"/>
                <c:pt idx="0">
                  <c:v>1.27</c:v>
                </c:pt>
                <c:pt idx="1">
                  <c:v>1.26</c:v>
                </c:pt>
                <c:pt idx="2">
                  <c:v>1.25</c:v>
                </c:pt>
                <c:pt idx="3">
                  <c:v>1.25</c:v>
                </c:pt>
                <c:pt idx="4">
                  <c:v>1.23</c:v>
                </c:pt>
              </c:numCache>
            </c:numRef>
          </c:val>
        </c:ser>
        <c:ser>
          <c:idx val="50"/>
          <c:order val="50"/>
          <c:tx>
            <c:strRef>
              <c:f>'[Bloomberg EURUSD.xml]Лист3'!$AZ$1:$AZ$2</c:f>
              <c:strCache>
                <c:ptCount val="1"/>
                <c:pt idx="0">
                  <c:v>Skandinaviska Enskilda Banken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EURUSD.xml]Лист3'!$AZ$3:$AZ$9</c:f>
              <c:numCache>
                <c:formatCode>General</c:formatCode>
                <c:ptCount val="7"/>
                <c:pt idx="0">
                  <c:v>1.32</c:v>
                </c:pt>
                <c:pt idx="1">
                  <c:v>1.28</c:v>
                </c:pt>
                <c:pt idx="2">
                  <c:v>1.26</c:v>
                </c:pt>
                <c:pt idx="3">
                  <c:v>1.24</c:v>
                </c:pt>
                <c:pt idx="4">
                  <c:v>1.2</c:v>
                </c:pt>
              </c:numCache>
            </c:numRef>
          </c:val>
        </c:ser>
        <c:ser>
          <c:idx val="51"/>
          <c:order val="51"/>
          <c:tx>
            <c:strRef>
              <c:f>'[Bloomberg EURUSD.xml]Лист3'!$BA$1:$BA$2</c:f>
              <c:strCache>
                <c:ptCount val="1"/>
                <c:pt idx="0">
                  <c:v>Monex Europe Ltd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EURUSD.xml]Лист3'!$BA$3:$BA$9</c:f>
              <c:numCache>
                <c:formatCode>General</c:formatCode>
                <c:ptCount val="7"/>
                <c:pt idx="0">
                  <c:v>1.27</c:v>
                </c:pt>
                <c:pt idx="1">
                  <c:v>1.29</c:v>
                </c:pt>
                <c:pt idx="2">
                  <c:v>1.32</c:v>
                </c:pt>
                <c:pt idx="3">
                  <c:v>1.28</c:v>
                </c:pt>
                <c:pt idx="4">
                  <c:v>1.28</c:v>
                </c:pt>
              </c:numCache>
            </c:numRef>
          </c:val>
        </c:ser>
        <c:ser>
          <c:idx val="52"/>
          <c:order val="52"/>
          <c:tx>
            <c:strRef>
              <c:f>'[Bloomberg EURUSD.xml]Лист3'!$BB$1:$BB$2</c:f>
              <c:strCache>
                <c:ptCount val="1"/>
                <c:pt idx="0">
                  <c:v>Sumitomo Mitsui Trust Bank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EURUSD.xml]Лист3'!$BB$3:$BB$9</c:f>
              <c:numCache>
                <c:formatCode>General</c:formatCode>
                <c:ptCount val="7"/>
                <c:pt idx="0">
                  <c:v>1.3</c:v>
                </c:pt>
                <c:pt idx="1">
                  <c:v>1.28</c:v>
                </c:pt>
                <c:pt idx="2">
                  <c:v>1.25</c:v>
                </c:pt>
                <c:pt idx="3">
                  <c:v>1.25</c:v>
                </c:pt>
              </c:numCache>
            </c:numRef>
          </c:val>
        </c:ser>
        <c:ser>
          <c:idx val="53"/>
          <c:order val="53"/>
          <c:tx>
            <c:strRef>
              <c:f>'[Bloomberg EURUSD.xml]Лист3'!$BC$1:$BC$2</c:f>
              <c:strCache>
                <c:ptCount val="1"/>
                <c:pt idx="0">
                  <c:v>Swedbank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EURUSD.xml]Лист3'!$BC$3:$BC$9</c:f>
              <c:numCache>
                <c:formatCode>General</c:formatCode>
                <c:ptCount val="7"/>
                <c:pt idx="0">
                  <c:v>1.28</c:v>
                </c:pt>
                <c:pt idx="1">
                  <c:v>1.26</c:v>
                </c:pt>
                <c:pt idx="2">
                  <c:v>1.24</c:v>
                </c:pt>
                <c:pt idx="3">
                  <c:v>1.2</c:v>
                </c:pt>
              </c:numCache>
            </c:numRef>
          </c:val>
        </c:ser>
        <c:ser>
          <c:idx val="54"/>
          <c:order val="54"/>
          <c:tx>
            <c:strRef>
              <c:f>'[Bloomberg EURUSD.xml]Лист3'!$BD$1:$BD$2</c:f>
              <c:strCache>
                <c:ptCount val="1"/>
                <c:pt idx="0">
                  <c:v>Swissquote Bank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EURUSD.xml]Лист3'!$BD$3:$BD$9</c:f>
              <c:numCache>
                <c:formatCode>General</c:formatCode>
                <c:ptCount val="7"/>
                <c:pt idx="0">
                  <c:v>1.3</c:v>
                </c:pt>
                <c:pt idx="1">
                  <c:v>1.26</c:v>
                </c:pt>
                <c:pt idx="2">
                  <c:v>1.23</c:v>
                </c:pt>
              </c:numCache>
            </c:numRef>
          </c:val>
        </c:ser>
        <c:ser>
          <c:idx val="55"/>
          <c:order val="55"/>
          <c:tx>
            <c:strRef>
              <c:f>'[Bloomberg EURUSD.xml]Лист3'!$BE$1:$BE$2</c:f>
              <c:strCache>
                <c:ptCount val="1"/>
                <c:pt idx="0">
                  <c:v>TD Securities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EURUSD.xml]Лист3'!$BE$3:$BE$9</c:f>
              <c:numCache>
                <c:formatCode>General</c:formatCode>
                <c:ptCount val="7"/>
                <c:pt idx="0">
                  <c:v>1.35</c:v>
                </c:pt>
                <c:pt idx="1">
                  <c:v>1.38</c:v>
                </c:pt>
                <c:pt idx="2">
                  <c:v>1.35</c:v>
                </c:pt>
                <c:pt idx="3">
                  <c:v>1.35</c:v>
                </c:pt>
                <c:pt idx="4">
                  <c:v>1.32</c:v>
                </c:pt>
              </c:numCache>
            </c:numRef>
          </c:val>
        </c:ser>
        <c:ser>
          <c:idx val="56"/>
          <c:order val="56"/>
          <c:tx>
            <c:strRef>
              <c:f>'[Bloomberg EURUSD.xml]Лист3'!$BF$1:$BF$2</c:f>
              <c:strCache>
                <c:ptCount val="1"/>
                <c:pt idx="0">
                  <c:v>UniCredit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EURUSD.xml]Лист3'!$BF$3:$BF$9</c:f>
              <c:numCache>
                <c:formatCode>General</c:formatCode>
                <c:ptCount val="7"/>
                <c:pt idx="0">
                  <c:v>1.36</c:v>
                </c:pt>
                <c:pt idx="1">
                  <c:v>1.38</c:v>
                </c:pt>
                <c:pt idx="2">
                  <c:v>1.4</c:v>
                </c:pt>
                <c:pt idx="3">
                  <c:v>1.4</c:v>
                </c:pt>
                <c:pt idx="4">
                  <c:v>1.43</c:v>
                </c:pt>
              </c:numCache>
            </c:numRef>
          </c:val>
        </c:ser>
        <c:ser>
          <c:idx val="57"/>
          <c:order val="57"/>
          <c:tx>
            <c:strRef>
              <c:f>'[Bloomberg EURUSD.xml]Лист3'!$BG$1:$BG$2</c:f>
              <c:strCache>
                <c:ptCount val="1"/>
                <c:pt idx="0">
                  <c:v>Casa De Bolsa Ve Por Mas SA de CV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EURUSD.xml]Лист3'!$BG$3:$BG$9</c:f>
              <c:numCache>
                <c:formatCode>General</c:formatCode>
                <c:ptCount val="7"/>
                <c:pt idx="0">
                  <c:v>1.31</c:v>
                </c:pt>
                <c:pt idx="1">
                  <c:v>1.31</c:v>
                </c:pt>
                <c:pt idx="2">
                  <c:v>1.3</c:v>
                </c:pt>
                <c:pt idx="3">
                  <c:v>1.3</c:v>
                </c:pt>
                <c:pt idx="4">
                  <c:v>1.29</c:v>
                </c:pt>
                <c:pt idx="5">
                  <c:v>1.28</c:v>
                </c:pt>
                <c:pt idx="6">
                  <c:v>1.27</c:v>
                </c:pt>
              </c:numCache>
            </c:numRef>
          </c:val>
        </c:ser>
        <c:ser>
          <c:idx val="58"/>
          <c:order val="58"/>
          <c:tx>
            <c:strRef>
              <c:f>'[Bloomberg EURUSD.xml]Лист3'!$BH$1:$BH$2</c:f>
              <c:strCache>
                <c:ptCount val="1"/>
                <c:pt idx="0">
                  <c:v>Wells Fargo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EURUSD.xml]Лист3'!$BH$3:$BH$9</c:f>
              <c:numCache>
                <c:formatCode>General</c:formatCode>
                <c:ptCount val="7"/>
                <c:pt idx="0">
                  <c:v>1.3</c:v>
                </c:pt>
                <c:pt idx="1">
                  <c:v>1.3</c:v>
                </c:pt>
                <c:pt idx="2">
                  <c:v>1.28</c:v>
                </c:pt>
                <c:pt idx="3">
                  <c:v>1.26</c:v>
                </c:pt>
                <c:pt idx="4">
                  <c:v>1.23</c:v>
                </c:pt>
              </c:numCache>
            </c:numRef>
          </c:val>
        </c:ser>
        <c:ser>
          <c:idx val="59"/>
          <c:order val="59"/>
          <c:tx>
            <c:strRef>
              <c:f>'[Bloomberg EURUSD.xml]Лист3'!$BI$1:$BI$2</c:f>
              <c:strCache>
                <c:ptCount val="1"/>
                <c:pt idx="0">
                  <c:v>Westpac Banking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EURUSD.xml]Лист3'!$BI$3:$BI$9</c:f>
              <c:numCache>
                <c:formatCode>General</c:formatCode>
                <c:ptCount val="7"/>
                <c:pt idx="0">
                  <c:v>1.3</c:v>
                </c:pt>
                <c:pt idx="1">
                  <c:v>1.28</c:v>
                </c:pt>
                <c:pt idx="2">
                  <c:v>1.25</c:v>
                </c:pt>
                <c:pt idx="3">
                  <c:v>1.22</c:v>
                </c:pt>
              </c:numCache>
            </c:numRef>
          </c:val>
        </c:ser>
        <c:ser>
          <c:idx val="60"/>
          <c:order val="60"/>
          <c:tx>
            <c:strRef>
              <c:f>'[Bloomberg EURUSD.xml]Лист3'!$BJ$1:$BJ$2</c:f>
              <c:strCache>
                <c:ptCount val="1"/>
                <c:pt idx="0">
                  <c:v>X-Trade Brokers Dom Maklerski</c:v>
                </c:pt>
              </c:strCache>
            </c:strRef>
          </c:tx>
          <c:invertIfNegative val="0"/>
          <c:cat>
            <c:strRef>
              <c:f>'[Bloomberg EURUSD.xml]Лист3'!$A$3:$A$9</c:f>
              <c:strCache>
                <c:ptCount val="7"/>
                <c:pt idx="0">
                  <c:v>Q2 13</c:v>
                </c:pt>
                <c:pt idx="1">
                  <c:v>Q3 13</c:v>
                </c:pt>
                <c:pt idx="2">
                  <c:v>Q4 13</c:v>
                </c:pt>
                <c:pt idx="3">
                  <c:v>Q1 14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strCache>
            </c:strRef>
          </c:cat>
          <c:val>
            <c:numRef>
              <c:f>'[Bloomberg EURUSD.xml]Лист3'!$BJ$3:$BJ$9</c:f>
              <c:numCache>
                <c:formatCode>General</c:formatCode>
                <c:ptCount val="7"/>
                <c:pt idx="0">
                  <c:v>1.26</c:v>
                </c:pt>
                <c:pt idx="1">
                  <c:v>1.3</c:v>
                </c:pt>
                <c:pt idx="2">
                  <c:v>1.25</c:v>
                </c:pt>
                <c:pt idx="4">
                  <c:v>1.2</c:v>
                </c:pt>
                <c:pt idx="5">
                  <c:v>1.3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4193536"/>
        <c:axId val="227099392"/>
      </c:barChart>
      <c:catAx>
        <c:axId val="224193536"/>
        <c:scaling>
          <c:orientation val="minMax"/>
        </c:scaling>
        <c:delete val="0"/>
        <c:axPos val="b"/>
        <c:majorTickMark val="none"/>
        <c:minorTickMark val="cross"/>
        <c:tickLblPos val="low"/>
        <c:crossAx val="227099392"/>
        <c:crosses val="autoZero"/>
        <c:auto val="1"/>
        <c:lblAlgn val="ctr"/>
        <c:lblOffset val="100"/>
        <c:tickMarkSkip val="31999"/>
        <c:noMultiLvlLbl val="0"/>
      </c:catAx>
      <c:valAx>
        <c:axId val="227099392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22419353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45343832020997377"/>
          <c:w val="1"/>
          <c:h val="0.4416461346586995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9C4"/>
    <w:rsid w:val="00CC0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C09C4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C09C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6E33EE-21B9-4FF2-A98F-6B08B5A77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36</Pages>
  <Words>5469</Words>
  <Characters>31175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4</cp:revision>
  <dcterms:created xsi:type="dcterms:W3CDTF">2013-05-20T14:06:00Z</dcterms:created>
  <dcterms:modified xsi:type="dcterms:W3CDTF">2013-05-20T14:14:00Z</dcterms:modified>
</cp:coreProperties>
</file>